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drawing>
          <wp:inline xmlns:a="http://schemas.openxmlformats.org/drawingml/2006/main" xmlns:pic="http://schemas.openxmlformats.org/drawingml/2006/picture">
            <wp:extent cx="3108960" cy="1424940"/>
            <wp:docPr id="1" name="Picture 1"/>
            <wp:cNvGraphicFramePr>
              <a:graphicFrameLocks noChangeAspect="1"/>
            </wp:cNvGraphicFramePr>
            <a:graphic>
              <a:graphicData uri="http://schemas.openxmlformats.org/drawingml/2006/picture">
                <pic:pic>
                  <pic:nvPicPr>
                    <pic:cNvPr id="0" name="logo(5).png"/>
                    <pic:cNvPicPr/>
                  </pic:nvPicPr>
                  <pic:blipFill>
                    <a:blip r:embed="rId9"/>
                    <a:stretch>
                      <a:fillRect/>
                    </a:stretch>
                  </pic:blipFill>
                  <pic:spPr>
                    <a:xfrm>
                      <a:off x="0" y="0"/>
                      <a:ext cx="3108960" cy="1424940"/>
                    </a:xfrm>
                    <a:prstGeom prst="rect"/>
                  </pic:spPr>
                </pic:pic>
              </a:graphicData>
            </a:graphic>
          </wp:inline>
        </w:drawing>
      </w:r>
    </w:p>
    <w:p>
      <w:pPr>
        <w:jc w:val="center"/>
      </w:pPr>
      <w:r>
        <w:rPr>
          <w:rFonts w:ascii="Arial" w:hAnsi="Arial"/>
          <w:b/>
          <w:color w:val="C00000"/>
          <w:sz w:val="48"/>
        </w:rPr>
        <w:t>WEBSITE PRIVACY NOTICE</w:t>
      </w:r>
    </w:p>
    <w:p>
      <w:pPr>
        <w:spacing w:after="360"/>
        <w:jc w:val="center"/>
      </w:pPr>
      <w:r>
        <w:rPr>
          <w:rFonts w:ascii="Arial" w:hAnsi="Arial"/>
          <w:i/>
          <w:sz w:val="26"/>
        </w:rPr>
        <w:t>We celebrate all success</w:t>
      </w:r>
    </w:p>
    <w:tbl>
      <w:tblPr>
        <w:tblW w:type="auto" w:w="0"/>
        <w:jc w:val="center"/>
        <w:tblLayout w:type="fixed"/>
        <w:tblLook w:firstColumn="1" w:firstRow="1" w:lastColumn="0" w:lastRow="0" w:noHBand="0" w:noVBand="1" w:val="04A0"/>
      </w:tblPr>
      <w:tblGrid>
        <w:gridCol w:w="5040"/>
        <w:gridCol w:w="5040"/>
      </w:tblGrid>
      <w:tr>
        <w:tc>
          <w:tcPr>
            <w:tcW w:type="dxa" w:w="2880"/>
          </w:tcPr>
          <w:p>
            <w:r>
              <w:t>DATE UPDATED</w:t>
            </w:r>
          </w:p>
        </w:tc>
        <w:tc>
          <w:tcPr>
            <w:tcW w:type="dxa" w:w="6048"/>
            <w:tcBorders>
              <w:bottom w:val="single" w:sz="7" w:color="C8102E"/>
            </w:tcBorders>
          </w:tcPr>
          <w:p>
            <w:r>
              <w:t>September 2026</w:t>
            </w:r>
          </w:p>
        </w:tc>
      </w:tr>
      <w:tr>
        <w:tc>
          <w:tcPr>
            <w:tcW w:type="dxa" w:w="2880"/>
          </w:tcPr>
          <w:p>
            <w:r>
              <w:t>UPDATED BY</w:t>
            </w:r>
          </w:p>
        </w:tc>
        <w:tc>
          <w:tcPr>
            <w:tcW w:type="dxa" w:w="6048"/>
            <w:tcBorders>
              <w:bottom w:val="single" w:sz="7" w:color="C8102E"/>
            </w:tcBorders>
          </w:tcPr>
          <w:p>
            <w:r>
              <w:t>Danielle Barker, Headteacher</w:t>
            </w:r>
          </w:p>
        </w:tc>
      </w:tr>
      <w:tr>
        <w:tc>
          <w:tcPr>
            <w:tcW w:type="dxa" w:w="2880"/>
          </w:tcPr>
          <w:p>
            <w:r>
              <w:t>DOCUMENT OWNER</w:t>
            </w:r>
          </w:p>
        </w:tc>
        <w:tc>
          <w:tcPr>
            <w:tcW w:type="dxa" w:w="6048"/>
            <w:tcBorders>
              <w:bottom w:val="single" w:sz="7" w:color="C8102E"/>
            </w:tcBorders>
          </w:tcPr>
          <w:p>
            <w:r>
              <w:t>Satswana Ltd, outsourced Data Protection Officer</w:t>
            </w:r>
          </w:p>
        </w:tc>
      </w:tr>
      <w:tr>
        <w:tc>
          <w:tcPr>
            <w:tcW w:type="dxa" w:w="2880"/>
          </w:tcPr>
          <w:p>
            <w:r>
              <w:t>NEXT REVIEW DATE</w:t>
            </w:r>
          </w:p>
        </w:tc>
        <w:tc>
          <w:tcPr>
            <w:tcW w:type="dxa" w:w="6048"/>
            <w:tcBorders>
              <w:bottom w:val="single" w:sz="7" w:color="C8102E"/>
            </w:tcBorders>
          </w:tcPr>
          <w:p>
            <w:r>
              <w:t>September 2027</w:t>
            </w:r>
          </w:p>
        </w:tc>
      </w:tr>
    </w:tbl>
    <w:p/>
    <w:tbl>
      <w:tblPr>
        <w:tblW w:type="auto" w:w="0"/>
        <w:jc w:val="center"/>
        <w:tblLook w:firstColumn="1" w:firstRow="1" w:lastColumn="0" w:lastRow="0" w:noHBand="0" w:noVBand="1" w:val="04A0"/>
      </w:tblPr>
      <w:tblGrid>
        <w:gridCol w:w="10080"/>
      </w:tblGrid>
      <w:tr>
        <w:tc>
          <w:tcPr>
            <w:tcW w:type="dxa" w:w="10080"/>
            <w:shd w:fill="C8102E"/>
          </w:tcPr>
          <w:p>
            <w:pPr>
              <w:jc w:val="center"/>
            </w:pPr>
            <w:r>
              <w:rPr>
                <w:b/>
                <w:color w:val="FFFFFF"/>
              </w:rPr>
              <w:t>NORTHWAY SCHOOL - THREE SITES</w:t>
            </w:r>
          </w:p>
        </w:tc>
      </w:tr>
      <w:tr>
        <w:tc>
          <w:tcPr>
            <w:tcW w:type="dxa" w:w="10080"/>
            <w:shd w:fill="F4F4F4"/>
          </w:tcPr>
          <w:p>
            <w:pPr>
              <w:jc w:val="center"/>
            </w:pPr>
            <w:r>
              <w:t>Reception &amp; KS1 - Grasvenor Avenue, High Barnet, EN5 2BY</w:t>
            </w:r>
          </w:p>
        </w:tc>
      </w:tr>
      <w:tr>
        <w:tc>
          <w:tcPr>
            <w:tcW w:type="dxa" w:w="10080"/>
          </w:tcPr>
          <w:p>
            <w:pPr>
              <w:jc w:val="center"/>
            </w:pPr>
            <w:r>
              <w:t>KS2 - The Fairway, Mill Hill, NW7 3HS</w:t>
            </w:r>
          </w:p>
        </w:tc>
      </w:tr>
      <w:tr>
        <w:tc>
          <w:tcPr>
            <w:tcW w:type="dxa" w:w="10080"/>
            <w:shd w:fill="F4F4F4"/>
          </w:tcPr>
          <w:p>
            <w:pPr>
              <w:jc w:val="center"/>
            </w:pPr>
            <w:r>
              <w:t>KS3 &amp; KS4 - Pursley Road, Mill Hill, NW7 2BU</w:t>
            </w:r>
          </w:p>
        </w:tc>
      </w:tr>
    </w:tbl>
    <w:p>
      <w:pPr>
        <w:jc w:val="center"/>
      </w:pPr>
      <w:r>
        <w:t>Central office: 020 8359 5450  |  office@northway.barnet.sch.uk</w:t>
      </w:r>
    </w:p>
    <w:p>
      <w:r/>
    </w:p>
    <w:p>
      <w:r>
        <w:br/>
      </w:r>
    </w:p>
    <w:p>
      <w:pPr>
        <w:pStyle w:val="Heading1"/>
        <w:keepNext/>
        <w:pageBreakBefore/>
      </w:pPr>
      <w:r>
        <w:t>1. Purpose and status</w:t>
      </w:r>
    </w:p>
    <w:p>
      <w:pPr>
        <w:spacing w:after="120"/>
      </w:pPr>
      <w:r>
        <w:t>This notice explains what happens to your information when you visit the Northway School website at www.northway.barnet.sch.uk, use our online forms, or contact us electronically. It sits alongside our Cookie Policy and our other privacy notices.</w:t>
      </w:r>
    </w:p>
    <w:p>
      <w:pPr>
        <w:spacing w:after="120"/>
      </w:pPr>
      <w:r>
        <w:t>Published by Northway School in September 2026. Review cycle: annually, and whenever the website or its third-party services change.</w:t>
      </w:r>
    </w:p>
    <w:p>
      <w:pPr>
        <w:spacing w:after="120"/>
      </w:pPr>
      <w:r>
        <w:t>Document owner: Satswana Ltd (outsourced Data Protection Officer) - dpo@satswana.com.</w:t>
      </w:r>
    </w:p>
    <w:p>
      <w:pPr>
        <w:pStyle w:val="Heading1"/>
        <w:keepNext/>
      </w:pPr>
      <w:r>
        <w:t>2. Who we are</w:t>
      </w:r>
    </w:p>
    <w:p>
      <w:pPr>
        <w:spacing w:after="120"/>
      </w:pPr>
      <w:r>
        <w:t>Northway School, The Fairway, Mill Hill, London, NW7 3HS, is the data controller for the information described in this notice. Northway is a three-site community special school maintained by the London Borough of Barnet.</w:t>
      </w:r>
    </w:p>
    <w:p>
      <w:pPr>
        <w:spacing w:after="120"/>
      </w:pPr>
      <w:r>
        <w:rPr/>
        <w:t>Our registration with the Information Commissioner’s Office is: Z5034661.</w:t>
      </w:r>
    </w:p>
    <w:p>
      <w:pPr>
        <w:spacing w:after="120"/>
      </w:pPr>
      <w:r>
        <w:t>Our Data Protection Officer is Satswana Ltd (outsourced Data Protection Officer), who can be contacted at dpo@satswana.com. You can also contact the school on 020 8359 5450. The DPO is your first point of contact for any question or concern about how we use your information.</w:t>
      </w:r>
    </w:p>
    <w:p>
      <w:pPr>
        <w:pStyle w:val="Heading1"/>
        <w:keepNext/>
      </w:pPr>
      <w:r>
        <w:t>3. What we collect when you visit</w:t>
      </w:r>
    </w:p>
    <w:p>
      <w:pPr>
        <w:spacing w:after="120"/>
      </w:pPr>
      <w:r>
        <w:rPr>
          <w:b/>
        </w:rPr>
        <w:t xml:space="preserve">AUTOMATICALLY: </w:t>
      </w:r>
      <w:r>
        <w:t>your IP address (truncated for analytics), the pages you view, the date and time, the referring page, your browser and device type, and approximate region. This is used to keep the site secure and to understand which pages are useful.</w:t>
      </w:r>
    </w:p>
    <w:p>
      <w:pPr>
        <w:spacing w:after="120"/>
      </w:pPr>
      <w:r>
        <w:rPr>
          <w:b/>
        </w:rPr>
        <w:t xml:space="preserve">WHEN YOU COMPLETE A FORM: </w:t>
      </w:r>
      <w:r>
        <w:t>the information you type into the form - typically your name, email address, telephone number, your child’s name and year group, and your message.</w:t>
      </w:r>
    </w:p>
    <w:p>
      <w:pPr>
        <w:spacing w:after="120"/>
      </w:pPr>
      <w:r>
        <w:rPr>
          <w:b/>
        </w:rPr>
        <w:t xml:space="preserve">WHEN YOU SUBSCRIBE TO NEWS: </w:t>
      </w:r>
      <w:r>
        <w:t>your name, email address, any telephone number you choose to give, and your contact preferences.</w:t>
      </w:r>
    </w:p>
    <w:p>
      <w:pPr>
        <w:spacing w:after="120"/>
      </w:pPr>
      <w:r>
        <w:rPr>
          <w:b/>
        </w:rPr>
        <w:t xml:space="preserve">WHEN YOU MAKE A PAYMENT: </w:t>
      </w:r>
      <w:r>
        <w:t>your name and the payment reference. Card details are entered directly with our payment provider and are never seen or stored by the school.</w:t>
      </w:r>
    </w:p>
    <w:p>
      <w:pPr>
        <w:spacing w:after="120"/>
      </w:pPr>
      <w:r>
        <w:rPr>
          <w:b/>
        </w:rPr>
        <w:t xml:space="preserve">WHEN YOU USE THE PARENT PORTAL: </w:t>
      </w:r>
      <w:r>
        <w:t>your login identifier, the time of access and the records you view, which are logged for security.</w:t>
      </w:r>
    </w:p>
    <w:p>
      <w:pPr>
        <w:spacing w:after="120"/>
      </w:pPr>
      <w:r>
        <w:t>We do not use the website to collect special category data, and you should not send safeguarding, medical or other sensitive information through a public web form - contact the school office directly instead.</w:t>
      </w:r>
    </w:p>
    <w:p>
      <w:pPr>
        <w:pStyle w:val="Heading1"/>
        <w:keepNext/>
      </w:pPr>
      <w:r>
        <w:t>4. Why we use it and our lawful basis</w:t>
      </w:r>
    </w:p>
    <w:p>
      <w:pPr>
        <w:pStyle w:val="ListBullet"/>
        <w:spacing w:after="60"/>
      </w:pPr>
      <w:r>
        <w:t>To operate and secure the website, and to prevent fraud and misuse - legitimate interests (Article 6(1)(f)), or public task where the site delivers school functions.</w:t>
      </w:r>
    </w:p>
    <w:p>
      <w:pPr>
        <w:pStyle w:val="ListBullet"/>
        <w:spacing w:after="60"/>
      </w:pPr>
      <w:r>
        <w:t>To respond to your enquiry - legitimate interests, or steps taken at your request before entering a contract.</w:t>
      </w:r>
    </w:p>
    <w:p>
      <w:pPr>
        <w:pStyle w:val="ListBullet"/>
        <w:spacing w:after="60"/>
      </w:pPr>
      <w:r>
        <w:t>To administer admissions enquiries and applications - public task and legal obligation.</w:t>
      </w:r>
    </w:p>
    <w:p>
      <w:pPr>
        <w:pStyle w:val="ListBullet"/>
        <w:spacing w:after="60"/>
      </w:pPr>
      <w:r>
        <w:t>To send you newsletters and updates you have asked for - consent (Article 6(1)(a)), which you may withdraw at any time using the unsubscribe link in every message.</w:t>
      </w:r>
    </w:p>
    <w:p>
      <w:pPr>
        <w:pStyle w:val="ListBullet"/>
        <w:spacing w:after="60"/>
      </w:pPr>
      <w:r>
        <w:t>To process payments for trips, clubs and meals - contract and legal obligation for the financial records.</w:t>
      </w:r>
    </w:p>
    <w:p>
      <w:pPr>
        <w:pStyle w:val="ListBullet"/>
        <w:spacing w:after="60"/>
      </w:pPr>
      <w:r>
        <w:t>To measure use of the site through anonymised analytics - consent, given through the cookie banner.</w:t>
      </w:r>
    </w:p>
    <w:p>
      <w:pPr>
        <w:spacing w:after="120"/>
      </w:pPr>
      <w:r>
        <w:t>We do not sell your information, we do not use it for advertising, and we do not make automated decisions about you based on your use of the website.</w:t>
      </w:r>
    </w:p>
    <w:p>
      <w:pPr>
        <w:pStyle w:val="Heading1"/>
        <w:keepNext/>
      </w:pPr>
      <w:r>
        <w:t>5. Who we share it with</w:t>
      </w:r>
    </w:p>
    <w:p>
      <w:pPr>
        <w:pStyle w:val="ListBullet"/>
        <w:spacing w:after="60"/>
      </w:pPr>
      <w:r>
        <w:t>Our website host and content management provider, who act as our processor under an Article 28 contract.</w:t>
      </w:r>
    </w:p>
    <w:p>
      <w:pPr>
        <w:pStyle w:val="ListBullet"/>
        <w:spacing w:after="60"/>
      </w:pPr>
      <w:r>
        <w:t>Our email delivery and newsletter provider, where you have subscribed.</w:t>
      </w:r>
    </w:p>
    <w:p>
      <w:pPr>
        <w:pStyle w:val="ListBullet"/>
        <w:spacing w:after="60"/>
      </w:pPr>
      <w:r>
        <w:t>Our payment provider, which is a controller in its own right for payment card data and regulated by the Financial Conduct Authority.</w:t>
      </w:r>
    </w:p>
    <w:p>
      <w:pPr>
        <w:pStyle w:val="ListBullet"/>
        <w:spacing w:after="60"/>
      </w:pPr>
      <w:r>
        <w:t>Our analytics provider, where you have consented, in anonymised form.</w:t>
      </w:r>
    </w:p>
    <w:p>
      <w:pPr>
        <w:pStyle w:val="ListBullet"/>
        <w:spacing w:after="60"/>
      </w:pPr>
      <w:r>
        <w:t>Embedded content providers (video, maps, calendars and social feeds) when you consent to load them; these set their own cookies and have their own privacy notices.</w:t>
      </w:r>
    </w:p>
    <w:p>
      <w:pPr>
        <w:pStyle w:val="ListBullet"/>
        <w:spacing w:after="60"/>
      </w:pPr>
      <w:r>
        <w:t>Law enforcement or other authorities where we are legally required to disclose.</w:t>
      </w:r>
    </w:p>
    <w:p>
      <w:pPr>
        <w:spacing w:after="120"/>
      </w:pPr>
      <w:r>
        <w:t>Our suppliers process data in the United Kingdom or the European Economic Area wherever possible. Where a transfer outside the UK is necessary, we use the International Data Transfer Agreement or the UK Addendum to the EU Standard Contractual Clauses and complete a transfer risk assessment.</w:t>
      </w:r>
    </w:p>
    <w:p>
      <w:pPr>
        <w:pStyle w:val="Heading1"/>
        <w:keepNext/>
      </w:pPr>
      <w:r>
        <w:t>6. How long we keep it</w:t>
      </w:r>
    </w:p>
    <w:p>
      <w:pPr>
        <w:pStyle w:val="ListBullet"/>
        <w:spacing w:after="60"/>
      </w:pPr>
      <w:r>
        <w:t>Web server and security logs: 12 months.</w:t>
      </w:r>
    </w:p>
    <w:p>
      <w:pPr>
        <w:pStyle w:val="ListBullet"/>
        <w:spacing w:after="60"/>
      </w:pPr>
      <w:r>
        <w:t>Analytics data: up to 14 months, in aggregate.</w:t>
      </w:r>
    </w:p>
    <w:p>
      <w:pPr>
        <w:pStyle w:val="ListBullet"/>
        <w:spacing w:after="60"/>
      </w:pPr>
      <w:r>
        <w:t>General enquiries: 2 years from the last contact.</w:t>
      </w:r>
    </w:p>
    <w:p>
      <w:pPr>
        <w:pStyle w:val="ListBullet"/>
        <w:spacing w:after="60"/>
      </w:pPr>
      <w:r>
        <w:t>Admissions enquiries: 1 year, or as set out in the pupil privacy notice if an application follows.</w:t>
      </w:r>
    </w:p>
    <w:p>
      <w:pPr>
        <w:pStyle w:val="ListBullet"/>
        <w:spacing w:after="60"/>
      </w:pPr>
      <w:r>
        <w:t>Newsletter subscriptions: until you unsubscribe, and we remove addresses that have not opened a message in 24 months.</w:t>
      </w:r>
    </w:p>
    <w:p>
      <w:pPr>
        <w:pStyle w:val="ListBullet"/>
        <w:spacing w:after="60"/>
      </w:pPr>
      <w:r>
        <w:t>Payment records: 6 years plus the current financial year, as required by financial regulations.</w:t>
      </w:r>
    </w:p>
    <w:p>
      <w:pPr>
        <w:pStyle w:val="ListBullet"/>
        <w:spacing w:after="60"/>
      </w:pPr>
      <w:r>
        <w:t>Cookie consent records: 12 months.</w:t>
      </w:r>
    </w:p>
    <w:p>
      <w:pPr>
        <w:spacing w:after="120"/>
      </w:pPr>
      <w:r>
        <w:t>Full details are in our Retention Schedule, available on request.</w:t>
      </w:r>
    </w:p>
    <w:p>
      <w:pPr>
        <w:pStyle w:val="Heading1"/>
        <w:keepNext/>
      </w:pPr>
      <w:r>
        <w:t>7. Cookies, children and links</w:t>
      </w:r>
    </w:p>
    <w:p>
      <w:pPr>
        <w:spacing w:after="120"/>
      </w:pPr>
      <w:r>
        <w:t>Cookies and similar technologies are explained in our Cookie Policy, which you can reach from the footer of every page. Nothing other than strictly necessary cookies is set until you choose, and you can change your choice at any time.</w:t>
      </w:r>
    </w:p>
    <w:p>
      <w:pPr>
        <w:spacing w:after="120"/>
      </w:pPr>
      <w:r>
        <w:t>Parts of this site are used by pupils. We design those pages in line with the ICO Children’s Code: privacy settings are high by default, we do not profile children, we do not use nudge techniques, and we explain what we collect in language pupils can understand.</w:t>
      </w:r>
    </w:p>
    <w:p>
      <w:pPr>
        <w:spacing w:after="120"/>
      </w:pPr>
      <w:r>
        <w:t>Our site links to other websites, including the Department for Education, the London Borough of Barnet and our suppliers. We are not responsible for their content or their privacy practices; please read their notices before providing information to them.</w:t>
      </w:r>
    </w:p>
    <w:p>
      <w:pPr>
        <w:pStyle w:val="Heading1"/>
        <w:keepNext/>
      </w:pPr>
      <w:r>
        <w:t>8. Your rights</w:t>
      </w:r>
    </w:p>
    <w:p>
      <w:pPr>
        <w:spacing w:after="120"/>
      </w:pPr>
      <w:r>
        <w:t>You have the right to: be informed about how we use your data; ask for a copy of it (a subject access request); have inaccurate data corrected; ask for erasure where we no longer need it; ask us to restrict processing while a dispute is resolved; object to processing based on public task or legitimate interests; and, where processing is based on consent or contract and is automated, receive your data in a portable format. Where we rely on consent, you may withdraw it at any time without giving a reason and without penalty.</w:t>
      </w:r>
    </w:p>
    <w:p>
      <w:pPr>
        <w:spacing w:after="120"/>
      </w:pPr>
      <w:r>
        <w:t>To exercise any right, contact the Data Protection Officer, Satswana Ltd (outsourced Data Protection Officer), at dpo@satswana.com or write to Northway School, The Fairway, Mill Hill, London, NW7 3HS. We will respond within one calendar month. There is no charge.</w:t>
      </w:r>
    </w:p>
    <w:p>
      <w:pPr>
        <w:spacing w:after="120"/>
      </w:pPr>
      <w:r>
        <w:t>If you are unhappy with how we have handled your information you may complain to us, and you may complain to the Information Commissioner’s Office at ico.org.uk/make-a-complaint, 0303 123 1113, or Wycliffe House, Water Lane, Wilmslow SK9 5AF.</w:t>
      </w:r>
    </w:p>
    <w:p>
      <w:pPr>
        <w:pStyle w:val="Heading1"/>
        <w:keepNext/>
      </w:pPr>
      <w:r>
        <w:t>9. Document control</w:t>
      </w:r>
    </w:p>
    <w:tbl>
      <w:tblPr>
        <w:tblStyle w:val="TableGrid"/>
        <w:tblW w:type="auto" w:w="0"/>
        <w:tblLook w:firstColumn="1" w:firstRow="1" w:lastColumn="0" w:lastRow="0" w:noHBand="0" w:noVBand="1" w:val="04A0"/>
      </w:tblPr>
      <w:tblGrid>
        <w:gridCol w:w="5040"/>
        <w:gridCol w:w="5040"/>
      </w:tblGrid>
      <w:tr>
        <w:tc>
          <w:tcPr>
            <w:tcW w:type="dxa" w:w="5040"/>
            <w:vAlign w:val="center"/>
          </w:tcPr>
          <w:p>
            <w:r>
              <w:t>Document title</w:t>
            </w:r>
          </w:p>
        </w:tc>
        <w:tc>
          <w:tcPr>
            <w:tcW w:type="dxa" w:w="5040"/>
            <w:vAlign w:val="center"/>
          </w:tcPr>
          <w:p>
            <w:r>
              <w:t>Privacy Notice (Website)</w:t>
            </w:r>
          </w:p>
        </w:tc>
      </w:tr>
      <w:tr>
        <w:tc>
          <w:tcPr>
            <w:tcW w:type="dxa" w:w="5040"/>
            <w:vAlign w:val="center"/>
          </w:tcPr>
          <w:p>
            <w:r>
              <w:t>Organisation</w:t>
            </w:r>
          </w:p>
        </w:tc>
        <w:tc>
          <w:tcPr>
            <w:tcW w:type="dxa" w:w="5040"/>
            <w:vAlign w:val="center"/>
          </w:tcPr>
          <w:p>
            <w:r>
              <w:t>Northway School</w:t>
            </w:r>
          </w:p>
        </w:tc>
      </w:tr>
      <w:tr>
        <w:tc>
          <w:tcPr>
            <w:tcW w:type="dxa" w:w="5040"/>
            <w:vAlign w:val="center"/>
          </w:tcPr>
          <w:p>
            <w:r>
              <w:t>Address</w:t>
            </w:r>
          </w:p>
        </w:tc>
        <w:tc>
          <w:tcPr>
            <w:tcW w:type="dxa" w:w="5040"/>
            <w:vAlign w:val="center"/>
          </w:tcPr>
          <w:p>
            <w:r>
              <w:t>The Fairway, Mill Hill, London, NW7 3HS</w:t>
            </w:r>
          </w:p>
        </w:tc>
      </w:tr>
      <w:tr>
        <w:tc>
          <w:tcPr>
            <w:tcW w:type="dxa" w:w="5040"/>
            <w:vAlign w:val="center"/>
          </w:tcPr>
          <w:p>
            <w:r>
              <w:t>Version</w:t>
            </w:r>
          </w:p>
        </w:tc>
        <w:tc>
          <w:tcPr>
            <w:tcW w:type="dxa" w:w="5040"/>
            <w:vAlign w:val="center"/>
          </w:tcPr>
          <w:p>
            <w:r>
              <w:t>1.0</w:t>
            </w:r>
          </w:p>
        </w:tc>
      </w:tr>
      <w:tr>
        <w:tc>
          <w:tcPr>
            <w:tcW w:type="dxa" w:w="5040"/>
            <w:vAlign w:val="center"/>
          </w:tcPr>
          <w:p>
            <w:r>
              <w:t>Issued</w:t>
            </w:r>
          </w:p>
        </w:tc>
        <w:tc>
          <w:tcPr>
            <w:tcW w:type="dxa" w:w="5040"/>
            <w:vAlign w:val="center"/>
          </w:tcPr>
          <w:p>
            <w:r>
              <w:t>September 2026</w:t>
            </w:r>
          </w:p>
        </w:tc>
      </w:tr>
      <w:tr>
        <w:tc>
          <w:tcPr>
            <w:tcW w:type="dxa" w:w="5040"/>
            <w:vAlign w:val="center"/>
          </w:tcPr>
          <w:p>
            <w:r>
              <w:t>Next review due</w:t>
            </w:r>
          </w:p>
        </w:tc>
        <w:tc>
          <w:tcPr>
            <w:tcW w:type="dxa" w:w="5040"/>
            <w:vAlign w:val="center"/>
          </w:tcPr>
          <w:p>
            <w:r>
              <w:t>September 2027</w:t>
            </w:r>
          </w:p>
        </w:tc>
      </w:tr>
      <w:tr>
        <w:tc>
          <w:tcPr>
            <w:tcW w:type="dxa" w:w="5040"/>
            <w:vAlign w:val="center"/>
          </w:tcPr>
          <w:p>
            <w:r>
              <w:t>Document owner</w:t>
            </w:r>
          </w:p>
        </w:tc>
        <w:tc>
          <w:tcPr>
            <w:tcW w:type="dxa" w:w="5040"/>
            <w:vAlign w:val="center"/>
          </w:tcPr>
          <w:p>
            <w:r>
              <w:t>Satswana Ltd (outsourced Data Protection Officer) - dpo@satswana.com</w:t>
            </w:r>
          </w:p>
        </w:tc>
      </w:tr>
      <w:tr>
        <w:tc>
          <w:tcPr>
            <w:tcW w:type="dxa" w:w="5040"/>
            <w:vAlign w:val="center"/>
          </w:tcPr>
          <w:p>
            <w:r>
              <w:t>Senior Information Risk Owner</w:t>
            </w:r>
          </w:p>
        </w:tc>
        <w:tc>
          <w:tcPr>
            <w:tcW w:type="dxa" w:w="5040"/>
            <w:vAlign w:val="center"/>
          </w:tcPr>
          <w:p>
            <w:r>
              <w:t>Danielle Barker, Headteacher</w:t>
            </w:r>
          </w:p>
        </w:tc>
      </w:tr>
      <w:tr>
        <w:tc>
          <w:tcPr>
            <w:tcW w:type="dxa" w:w="5040"/>
            <w:vAlign w:val="center"/>
          </w:tcPr>
          <w:p>
            <w:pPr/>
            <w:r>
              <w:rPr/>
              <w:t>ICO registration</w:t>
            </w:r>
          </w:p>
        </w:tc>
        <w:tc>
          <w:tcPr>
            <w:tcW w:type="dxa" w:w="5040"/>
            <w:vAlign w:val="center"/>
          </w:tcPr>
          <w:p>
            <w:pPr/>
            <w:r>
              <w:rPr/>
              <w:t>Z5034661</w:t>
            </w:r>
          </w:p>
        </w:tc>
      </w:tr>
      <w:tr>
        <w:tc>
          <w:tcPr>
            <w:tcW w:type="dxa" w:w="5040"/>
            <w:vAlign w:val="center"/>
          </w:tcPr>
          <w:p>
            <w:r>
              <w:t>Approved by</w:t>
            </w:r>
          </w:p>
        </w:tc>
        <w:tc>
          <w:tcPr>
            <w:tcW w:type="dxa" w:w="5040"/>
            <w:vAlign w:val="center"/>
          </w:tcPr>
          <w:p>
            <w:r>
              <w:t>Governing Body of Northway School</w:t>
            </w:r>
          </w:p>
        </w:tc>
      </w:tr>
      <w:tr>
        <w:tc>
          <w:tcPr>
            <w:tcW w:type="dxa" w:w="5040"/>
            <w:vAlign w:val="center"/>
          </w:tcPr>
          <w:p>
            <w:r>
              <w:t>Date of approval</w:t>
            </w:r>
          </w:p>
        </w:tc>
        <w:tc>
          <w:tcPr>
            <w:tcW w:type="dxa" w:w="5040"/>
            <w:vAlign w:val="center"/>
          </w:tcPr>
          <w:p>
            <w:r>
              <w:rPr>
                <w:shd w:fill="FFF2CC"/>
              </w:rPr>
              <w:t>[TO COMPLETE FOLLOWING GOVERNOR APPROVAL]</w:t>
            </w:r>
          </w:p>
        </w:tc>
      </w:tr>
      <w:tr>
        <w:tc>
          <w:tcPr>
            <w:tcW w:type="dxa" w:w="5040"/>
            <w:vAlign w:val="center"/>
          </w:tcPr>
          <w:p>
            <w:r>
              <w:t>Classification</w:t>
            </w:r>
          </w:p>
        </w:tc>
        <w:tc>
          <w:tcPr>
            <w:tcW w:type="dxa" w:w="5040"/>
            <w:vAlign w:val="center"/>
          </w:tcPr>
          <w:p>
            <w:r>
              <w:t>Official - for publication</w:t>
            </w:r>
          </w:p>
        </w:tc>
      </w:tr>
    </w:tbl>
    <w:p>
      <w:pPr>
        <w:spacing w:after="120"/>
      </w:pPr>
      <w:r>
        <w:t>Provided by Satswana. Drafted to align with the UK GDPR, the Data Protection Act 2018 and ICO guidance. This notice should be reviewed, personalised and formally approved before publication.</w:t>
      </w:r>
    </w:p>
    <w:sectPr w:rsidR="00FC693F" w:rsidRPr="0006063C" w:rsidSect="00034616">
      <w:footerReference w:type="default" r:id="rId10"/>
      <w:headerReference w:type="default" r:id="rId11"/>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Northway School | Website Privacy Notice | September 2026</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entury Gothic" w:hAnsi="Century Gothic"/>
    </w:rPr>
  </w:style>
  <w:style w:type="character" w:customStyle="1" w:styleId="HeaderChar">
    <w:name w:val="Header Char"/>
    <w:basedOn w:val="DefaultParagraphFont"/>
    <w:link w:val="Header"/>
    <w:uiPriority w:val="99"/>
    <w:rsid w:val="00E618BF"/>
    <w:rPr>
      <w:rFonts w:ascii="Century Gothic" w:hAnsi="Century Gothic"/>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entury Gothic" w:hAnsi="Century Gothic"/>
    </w:rPr>
  </w:style>
  <w:style w:type="character" w:customStyle="1" w:styleId="FooterChar">
    <w:name w:val="Footer Char"/>
    <w:basedOn w:val="DefaultParagraphFont"/>
    <w:link w:val="Footer"/>
    <w:uiPriority w:val="99"/>
    <w:rsid w:val="00E618BF"/>
    <w:rPr>
      <w:rFonts w:ascii="Century Gothic" w:hAnsi="Century Gothic"/>
    </w:rPr>
  </w:style>
  <w:style w:type="paragraph" w:styleId="Heading1">
    <w:name w:val="heading 1"/>
    <w:basedOn w:val="Normal"/>
    <w:next w:val="Normal"/>
    <w:link w:val="Heading1Char"/>
    <w:uiPriority w:val="9"/>
    <w:qFormat/>
    <w:rsid w:val="00FC693F"/>
    <w:pPr>
      <w:keepNext/>
      <w:keepLines/>
      <w:spacing w:before="160" w:after="60"/>
      <w:outlineLvl w:val="0"/>
    </w:pPr>
    <w:rPr>
      <w:rFonts w:asciiTheme="majorHAnsi" w:eastAsiaTheme="majorEastAsia" w:hAnsiTheme="majorHAnsi" w:cstheme="majorBidi" w:ascii="Arial" w:hAnsi="Arial"/>
      <w:b/>
      <w:bCs/>
      <w:color w:val="C00000"/>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ascii="Arial" w:hAnsi="Arial"/>
      <w:b/>
      <w:bCs/>
      <w:color w:val="C8102E"/>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entury Gothic" w:hAnsi="Century Gothic"/>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entury Gothic" w:hAnsi="Century Gothic"/>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entury Gothic" w:hAnsi="Century Gothic"/>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entury Gothic" w:hAnsi="Century Gothic"/>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entury Gothic" w:hAnsi="Century Gothic"/>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entury Gothic" w:hAnsi="Century Gothic"/>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entury Gothic" w:hAnsi="Century Gothic"/>
      <w:i/>
      <w:iCs/>
      <w:color w:val="404040" w:themeColor="text1" w:themeTint="BF"/>
      <w:sz w:val="20"/>
      <w:szCs w:val="20"/>
    </w:rPr>
  </w:style>
  <w:style w:type="character" w:default="1" w:styleId="DefaultParagraphFont">
    <w:name w:val="Default Paragraph Font"/>
    <w:uiPriority w:val="1"/>
    <w:semiHidden/>
    <w:unhideWhenUsed/>
    <w:rPr>
      <w:rFonts w:ascii="Century Gothic" w:hAnsi="Century Gothic"/>
    </w:rPr>
  </w:style>
  <w:style w:type="table" w:default="1" w:styleId="TableNormal">
    <w:name w:val="Normal Table"/>
    <w:uiPriority w:val="99"/>
    <w:semiHidden/>
    <w:unhideWhenUsed/>
    <w:rPr>
      <w:rFonts w:ascii="Century Gothic" w:hAnsi="Century Gothic"/>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entury Gothic" w:hAnsi="Century Gothic"/>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ascii="Century Gothic" w:hAnsi="Century Gothic"/>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ascii="Century Gothic" w:hAnsi="Century Gothic"/>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ascii="Century Gothic" w:hAnsi="Century Gothic"/>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Century Gothic" w:hAnsi="Century Gothic"/>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ascii="Century Gothic" w:hAnsi="Century Gothic"/>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entury Gothic" w:hAnsi="Century Gothic"/>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ascii="Century Gothic" w:hAnsi="Century Gothic"/>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entury Gothic" w:hAnsi="Century Gothic"/>
    </w:rPr>
  </w:style>
  <w:style w:type="paragraph" w:styleId="BodyText">
    <w:name w:val="Body Text"/>
    <w:basedOn w:val="Normal"/>
    <w:link w:val="BodyTextChar"/>
    <w:uiPriority w:val="99"/>
    <w:unhideWhenUsed/>
    <w:rsid w:val="00AA1D8D"/>
    <w:pPr>
      <w:spacing w:after="120"/>
    </w:pPr>
    <w:rPr>
      <w:rFonts w:ascii="Century Gothic" w:hAnsi="Century Gothic"/>
    </w:rPr>
  </w:style>
  <w:style w:type="character" w:customStyle="1" w:styleId="BodyTextChar">
    <w:name w:val="Body Text Char"/>
    <w:basedOn w:val="DefaultParagraphFont"/>
    <w:link w:val="BodyText"/>
    <w:uiPriority w:val="99"/>
    <w:rsid w:val="00AA1D8D"/>
    <w:rPr>
      <w:rFonts w:ascii="Century Gothic" w:hAnsi="Century Gothic"/>
    </w:rPr>
  </w:style>
  <w:style w:type="paragraph" w:styleId="BodyText2">
    <w:name w:val="Body Text 2"/>
    <w:basedOn w:val="Normal"/>
    <w:link w:val="BodyText2Char"/>
    <w:uiPriority w:val="99"/>
    <w:unhideWhenUsed/>
    <w:rsid w:val="00AA1D8D"/>
    <w:pPr>
      <w:spacing w:after="120" w:line="480" w:lineRule="auto"/>
    </w:pPr>
    <w:rPr>
      <w:rFonts w:ascii="Century Gothic" w:hAnsi="Century Gothic"/>
    </w:rPr>
  </w:style>
  <w:style w:type="character" w:customStyle="1" w:styleId="BodyText2Char">
    <w:name w:val="Body Text 2 Char"/>
    <w:basedOn w:val="DefaultParagraphFont"/>
    <w:link w:val="BodyText2"/>
    <w:uiPriority w:val="99"/>
    <w:rsid w:val="00AA1D8D"/>
    <w:rPr>
      <w:rFonts w:ascii="Century Gothic" w:hAnsi="Century Gothic"/>
    </w:rPr>
  </w:style>
  <w:style w:type="paragraph" w:styleId="BodyText3">
    <w:name w:val="Body Text 3"/>
    <w:basedOn w:val="Normal"/>
    <w:link w:val="BodyText3Char"/>
    <w:uiPriority w:val="99"/>
    <w:unhideWhenUsed/>
    <w:rsid w:val="00AA1D8D"/>
    <w:pPr>
      <w:spacing w:after="120"/>
    </w:pPr>
    <w:rPr>
      <w:rFonts w:ascii="Century Gothic" w:hAnsi="Century Gothic"/>
      <w:sz w:val="16"/>
      <w:szCs w:val="16"/>
    </w:rPr>
  </w:style>
  <w:style w:type="character" w:customStyle="1" w:styleId="BodyText3Char">
    <w:name w:val="Body Text 3 Char"/>
    <w:basedOn w:val="DefaultParagraphFont"/>
    <w:link w:val="BodyText3"/>
    <w:uiPriority w:val="99"/>
    <w:rsid w:val="00AA1D8D"/>
    <w:rPr>
      <w:rFonts w:ascii="Century Gothic" w:hAnsi="Century Gothic"/>
      <w:sz w:val="16"/>
      <w:szCs w:val="16"/>
    </w:rPr>
  </w:style>
  <w:style w:type="paragraph" w:styleId="List">
    <w:name w:val="List"/>
    <w:basedOn w:val="Normal"/>
    <w:uiPriority w:val="99"/>
    <w:unhideWhenUsed/>
    <w:rsid w:val="00AA1D8D"/>
    <w:pPr>
      <w:ind w:left="360" w:hanging="360"/>
      <w:contextualSpacing/>
    </w:pPr>
    <w:rPr>
      <w:rFonts w:ascii="Century Gothic" w:hAnsi="Century Gothic"/>
    </w:rPr>
  </w:style>
  <w:style w:type="paragraph" w:styleId="List2">
    <w:name w:val="List 2"/>
    <w:basedOn w:val="Normal"/>
    <w:uiPriority w:val="99"/>
    <w:unhideWhenUsed/>
    <w:rsid w:val="00326F90"/>
    <w:pPr>
      <w:ind w:left="720" w:hanging="360"/>
      <w:contextualSpacing/>
    </w:pPr>
    <w:rPr>
      <w:rFonts w:ascii="Century Gothic" w:hAnsi="Century Gothic"/>
    </w:rPr>
  </w:style>
  <w:style w:type="paragraph" w:styleId="List3">
    <w:name w:val="List 3"/>
    <w:basedOn w:val="Normal"/>
    <w:uiPriority w:val="99"/>
    <w:unhideWhenUsed/>
    <w:rsid w:val="00326F90"/>
    <w:pPr>
      <w:ind w:left="1080" w:hanging="360"/>
      <w:contextualSpacing/>
    </w:pPr>
    <w:rPr>
      <w:rFonts w:ascii="Century Gothic" w:hAnsi="Century Gothic"/>
    </w:rPr>
  </w:style>
  <w:style w:type="paragraph" w:styleId="ListBullet">
    <w:name w:val="List Bullet"/>
    <w:basedOn w:val="Normal"/>
    <w:uiPriority w:val="99"/>
    <w:unhideWhenUsed/>
    <w:rsid w:val="00326F90"/>
    <w:pPr>
      <w:numPr>
        <w:numId w:val="1"/>
      </w:numPr>
      <w:contextualSpacing/>
    </w:pPr>
    <w:rPr>
      <w:rFonts w:ascii="Arial" w:hAnsi="Arial"/>
    </w:rPr>
  </w:style>
  <w:style w:type="paragraph" w:styleId="ListBullet2">
    <w:name w:val="List Bullet 2"/>
    <w:basedOn w:val="Normal"/>
    <w:uiPriority w:val="99"/>
    <w:unhideWhenUsed/>
    <w:rsid w:val="00326F90"/>
    <w:pPr>
      <w:numPr>
        <w:numId w:val="2"/>
      </w:numPr>
      <w:contextualSpacing/>
    </w:pPr>
    <w:rPr>
      <w:rFonts w:ascii="Century Gothic" w:hAnsi="Century Gothic"/>
    </w:rPr>
  </w:style>
  <w:style w:type="paragraph" w:styleId="ListBullet3">
    <w:name w:val="List Bullet 3"/>
    <w:basedOn w:val="Normal"/>
    <w:uiPriority w:val="99"/>
    <w:unhideWhenUsed/>
    <w:rsid w:val="00326F90"/>
    <w:pPr>
      <w:numPr>
        <w:numId w:val="3"/>
      </w:numPr>
      <w:contextualSpacing/>
    </w:pPr>
    <w:rPr>
      <w:rFonts w:ascii="Century Gothic" w:hAnsi="Century Gothic"/>
    </w:rPr>
  </w:style>
  <w:style w:type="paragraph" w:styleId="ListNumber">
    <w:name w:val="List Number"/>
    <w:basedOn w:val="Normal"/>
    <w:uiPriority w:val="99"/>
    <w:unhideWhenUsed/>
    <w:rsid w:val="00326F90"/>
    <w:pPr>
      <w:numPr>
        <w:numId w:val="5"/>
      </w:numPr>
      <w:contextualSpacing/>
    </w:pPr>
    <w:rPr>
      <w:rFonts w:ascii="Century Gothic" w:hAnsi="Century Gothic"/>
    </w:rPr>
  </w:style>
  <w:style w:type="paragraph" w:styleId="ListNumber2">
    <w:name w:val="List Number 2"/>
    <w:basedOn w:val="Normal"/>
    <w:uiPriority w:val="99"/>
    <w:unhideWhenUsed/>
    <w:rsid w:val="0029639D"/>
    <w:pPr>
      <w:numPr>
        <w:numId w:val="6"/>
      </w:numPr>
      <w:contextualSpacing/>
    </w:pPr>
    <w:rPr>
      <w:rFonts w:ascii="Century Gothic" w:hAnsi="Century Gothic"/>
    </w:rPr>
  </w:style>
  <w:style w:type="paragraph" w:styleId="ListNumber3">
    <w:name w:val="List Number 3"/>
    <w:basedOn w:val="Normal"/>
    <w:uiPriority w:val="99"/>
    <w:unhideWhenUsed/>
    <w:rsid w:val="0029639D"/>
    <w:pPr>
      <w:numPr>
        <w:numId w:val="7"/>
      </w:numPr>
      <w:contextualSpacing/>
    </w:pPr>
    <w:rPr>
      <w:rFonts w:ascii="Century Gothic" w:hAnsi="Century Gothic"/>
    </w:rPr>
  </w:style>
  <w:style w:type="paragraph" w:styleId="ListContinue">
    <w:name w:val="List Continue"/>
    <w:basedOn w:val="Normal"/>
    <w:uiPriority w:val="99"/>
    <w:unhideWhenUsed/>
    <w:rsid w:val="0029639D"/>
    <w:pPr>
      <w:spacing w:after="120"/>
      <w:ind w:left="360"/>
      <w:contextualSpacing/>
    </w:pPr>
    <w:rPr>
      <w:rFonts w:ascii="Century Gothic" w:hAnsi="Century Gothic"/>
    </w:rPr>
  </w:style>
  <w:style w:type="paragraph" w:styleId="ListContinue2">
    <w:name w:val="List Continue 2"/>
    <w:basedOn w:val="Normal"/>
    <w:uiPriority w:val="99"/>
    <w:unhideWhenUsed/>
    <w:rsid w:val="0029639D"/>
    <w:pPr>
      <w:spacing w:after="120"/>
      <w:ind w:left="720"/>
      <w:contextualSpacing/>
    </w:pPr>
    <w:rPr>
      <w:rFonts w:ascii="Century Gothic" w:hAnsi="Century Gothic"/>
    </w:rPr>
  </w:style>
  <w:style w:type="paragraph" w:styleId="ListContinue3">
    <w:name w:val="List Continue 3"/>
    <w:basedOn w:val="Normal"/>
    <w:uiPriority w:val="99"/>
    <w:unhideWhenUsed/>
    <w:rsid w:val="0029639D"/>
    <w:pPr>
      <w:spacing w:after="120"/>
      <w:ind w:left="1080"/>
      <w:contextualSpacing/>
    </w:pPr>
    <w:rPr>
      <w:rFonts w:ascii="Century Gothic" w:hAnsi="Century Gothic"/>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entury Gothic" w:hAnsi="Century Gothic"/>
      <w:sz w:val="20"/>
      <w:szCs w:val="20"/>
    </w:rPr>
  </w:style>
  <w:style w:type="character" w:customStyle="1" w:styleId="MacroTextChar">
    <w:name w:val="Macro Text Char"/>
    <w:basedOn w:val="DefaultParagraphFont"/>
    <w:link w:val="MacroText"/>
    <w:uiPriority w:val="99"/>
    <w:rsid w:val="0029639D"/>
    <w:rPr>
      <w:rFonts w:ascii="Century Gothic" w:hAnsi="Century Gothic"/>
      <w:sz w:val="20"/>
      <w:szCs w:val="20"/>
    </w:rPr>
  </w:style>
  <w:style w:type="paragraph" w:styleId="Quote">
    <w:name w:val="Quote"/>
    <w:basedOn w:val="Normal"/>
    <w:next w:val="Normal"/>
    <w:link w:val="QuoteChar"/>
    <w:uiPriority w:val="29"/>
    <w:qFormat/>
    <w:rsid w:val="00FC693F"/>
    <w:rPr>
      <w:rFonts w:ascii="Century Gothic" w:hAnsi="Century Gothic"/>
      <w:i/>
      <w:iCs/>
      <w:color w:val="000000" w:themeColor="text1"/>
    </w:rPr>
  </w:style>
  <w:style w:type="character" w:customStyle="1" w:styleId="QuoteChar">
    <w:name w:val="Quote Char"/>
    <w:basedOn w:val="DefaultParagraphFont"/>
    <w:link w:val="Quote"/>
    <w:uiPriority w:val="29"/>
    <w:rsid w:val="00FC693F"/>
    <w:rPr>
      <w:rFonts w:ascii="Century Gothic" w:hAnsi="Century Gothic"/>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ascii="Century Gothic" w:hAnsi="Century Gothic"/>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ascii="Century Gothic" w:hAnsi="Century Gothic"/>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ascii="Century Gothic" w:hAnsi="Century Gothic"/>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ascii="Century Gothic" w:hAnsi="Century Gothic"/>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ascii="Century Gothic" w:hAnsi="Century Gothic"/>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ascii="Century Gothic" w:hAnsi="Century Gothic"/>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entury Gothic" w:hAnsi="Century Gothic"/>
      <w:b/>
      <w:bCs/>
      <w:color w:val="4F81BD" w:themeColor="accent1"/>
      <w:sz w:val="18"/>
      <w:szCs w:val="18"/>
    </w:rPr>
  </w:style>
  <w:style w:type="character" w:styleId="Strong">
    <w:name w:val="Strong"/>
    <w:basedOn w:val="DefaultParagraphFont"/>
    <w:uiPriority w:val="22"/>
    <w:qFormat/>
    <w:rsid w:val="00FC693F"/>
    <w:rPr>
      <w:rFonts w:ascii="Century Gothic" w:hAnsi="Century Gothic"/>
      <w:b/>
      <w:bCs/>
    </w:rPr>
  </w:style>
  <w:style w:type="character" w:styleId="Emphasis">
    <w:name w:val="Emphasis"/>
    <w:basedOn w:val="DefaultParagraphFont"/>
    <w:uiPriority w:val="20"/>
    <w:qFormat/>
    <w:rsid w:val="00FC693F"/>
    <w:rPr>
      <w:rFonts w:ascii="Century Gothic" w:hAnsi="Century Goth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Century Gothic" w:hAnsi="Century Gothic"/>
      <w:b/>
      <w:bCs/>
      <w:i/>
      <w:iCs/>
      <w:color w:val="4F81BD" w:themeColor="accent1"/>
    </w:rPr>
  </w:style>
  <w:style w:type="character" w:customStyle="1" w:styleId="IntenseQuoteChar">
    <w:name w:val="Intense Quote Char"/>
    <w:basedOn w:val="DefaultParagraphFont"/>
    <w:link w:val="IntenseQuote"/>
    <w:uiPriority w:val="30"/>
    <w:rsid w:val="00FC693F"/>
    <w:rPr>
      <w:rFonts w:ascii="Century Gothic" w:hAnsi="Century Gothic"/>
      <w:b/>
      <w:bCs/>
      <w:i/>
      <w:iCs/>
      <w:color w:val="4F81BD" w:themeColor="accent1"/>
    </w:rPr>
  </w:style>
  <w:style w:type="character" w:styleId="SubtleEmphasis">
    <w:name w:val="Subtle Emphasis"/>
    <w:basedOn w:val="DefaultParagraphFont"/>
    <w:uiPriority w:val="19"/>
    <w:qFormat/>
    <w:rsid w:val="00FC693F"/>
    <w:rPr>
      <w:rFonts w:ascii="Century Gothic" w:hAnsi="Century Gothic"/>
      <w:i/>
      <w:iCs/>
      <w:color w:val="808080" w:themeColor="text1" w:themeTint="7F"/>
    </w:rPr>
  </w:style>
  <w:style w:type="character" w:styleId="IntenseEmphasis">
    <w:name w:val="Intense Emphasis"/>
    <w:basedOn w:val="DefaultParagraphFont"/>
    <w:uiPriority w:val="21"/>
    <w:qFormat/>
    <w:rsid w:val="00FC693F"/>
    <w:rPr>
      <w:rFonts w:ascii="Century Gothic" w:hAnsi="Century Gothic"/>
      <w:b/>
      <w:bCs/>
      <w:i/>
      <w:iCs/>
      <w:color w:val="4F81BD" w:themeColor="accent1"/>
    </w:rPr>
  </w:style>
  <w:style w:type="character" w:styleId="SubtleReference">
    <w:name w:val="Subtle Reference"/>
    <w:basedOn w:val="DefaultParagraphFont"/>
    <w:uiPriority w:val="31"/>
    <w:qFormat/>
    <w:rsid w:val="00FC693F"/>
    <w:rPr>
      <w:rFonts w:ascii="Century Gothic" w:hAnsi="Century Gothic"/>
      <w:smallCaps/>
      <w:color w:val="C0504D" w:themeColor="accent2"/>
      <w:u w:val="single"/>
    </w:rPr>
  </w:style>
  <w:style w:type="character" w:styleId="IntenseReference">
    <w:name w:val="Intense Reference"/>
    <w:basedOn w:val="DefaultParagraphFont"/>
    <w:uiPriority w:val="32"/>
    <w:qFormat/>
    <w:rsid w:val="00FC693F"/>
    <w:rPr>
      <w:rFonts w:ascii="Century Gothic" w:hAnsi="Century Gothic"/>
      <w:b/>
      <w:bCs/>
      <w:smallCaps/>
      <w:color w:val="C0504D" w:themeColor="accent2"/>
      <w:spacing w:val="5"/>
      <w:u w:val="single"/>
    </w:rPr>
  </w:style>
  <w:style w:type="character" w:styleId="BookTitle">
    <w:name w:val="Book Title"/>
    <w:basedOn w:val="DefaultParagraphFont"/>
    <w:uiPriority w:val="33"/>
    <w:qFormat/>
    <w:rsid w:val="00FC693F"/>
    <w:rPr>
      <w:rFonts w:ascii="Century Gothic" w:hAnsi="Century Gothic"/>
      <w:b/>
      <w:bCs/>
      <w:smallCaps/>
      <w:spacing w:val="5"/>
    </w:rPr>
  </w:style>
  <w:style w:type="paragraph" w:styleId="TOCHeading">
    <w:name w:val="TOC Heading"/>
    <w:basedOn w:val="Heading1"/>
    <w:next w:val="Normal"/>
    <w:uiPriority w:val="39"/>
    <w:semiHidden/>
    <w:unhideWhenUsed/>
    <w:qFormat/>
    <w:rsid w:val="00FC693F"/>
    <w:pPr>
      <w:outlineLvl w:val="9"/>
    </w:pPr>
    <w:rPr>
      <w:rFonts w:ascii="Century Gothic" w:hAnsi="Century Gothic"/>
    </w:rPr>
  </w:style>
  <w:style w:type="table" w:styleId="TableGrid">
    <w:name w:val="Table Grid"/>
    <w:basedOn w:val="TableNormal"/>
    <w:uiPriority w:val="59"/>
    <w:rsid w:val="00FC693F"/>
    <w:pPr>
      <w:spacing w:after="0" w:line="240" w:lineRule="auto"/>
    </w:pPr>
    <w:rPr>
      <w:rFonts w:ascii="Century Gothic" w:hAnsi="Century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Century Gothic" w:hAnsi="Century Gothic"/>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Century Gothic" w:hAnsi="Century Gothic"/>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Century Gothic" w:hAnsi="Century Gothic"/>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Century Gothic" w:hAnsi="Century Gothic"/>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Century Gothic" w:hAnsi="Century Gothic"/>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Century Gothic" w:hAnsi="Century Gothic"/>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Century Gothic" w:hAnsi="Century Gothic"/>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Century Gothic" w:hAnsi="Century Gothic"/>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Century Gothic" w:hAnsi="Century Gothic"/>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 Id="rId1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Northway School Website Privacy Notice 2026</dc:title>
  <dc:subject>Website Privacy Notice</dc:subject>
  <dc:creator>Northway School</dc:creator>
  <cp:keywords/>
  <dc:description>generated by python-docx</dc:description>
  <cp:lastModifiedBy/>
  <cp:revision>1</cp:revision>
  <dcterms:created xsi:type="dcterms:W3CDTF">2013-12-23T23:15:00Z</dcterms:created>
  <dcterms:modified xsi:type="dcterms:W3CDTF">2013-12-23T23:15:00Z</dcterms:modified>
  <cp:category/>
</cp:coreProperties>
</file>