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40"/>
        <w:jc w:val="center"/>
      </w:pPr>
      <w:r>
        <w:drawing>
          <wp:inline xmlns:a="http://schemas.openxmlformats.org/drawingml/2006/main" xmlns:pic="http://schemas.openxmlformats.org/drawingml/2006/picture">
            <wp:extent cx="3108960" cy="1424940"/>
            <wp:docPr id="1" name="Picture 1"/>
            <wp:cNvGraphicFramePr>
              <a:graphicFrameLocks noChangeAspect="1"/>
            </wp:cNvGraphicFramePr>
            <a:graphic>
              <a:graphicData uri="http://schemas.openxmlformats.org/drawingml/2006/picture">
                <pic:pic>
                  <pic:nvPicPr>
                    <pic:cNvPr id="0" name="logo(5).png"/>
                    <pic:cNvPicPr/>
                  </pic:nvPicPr>
                  <pic:blipFill>
                    <a:blip r:embed="rId9"/>
                    <a:stretch>
                      <a:fillRect/>
                    </a:stretch>
                  </pic:blipFill>
                  <pic:spPr>
                    <a:xfrm>
                      <a:off x="0" y="0"/>
                      <a:ext cx="3108960" cy="1424940"/>
                    </a:xfrm>
                    <a:prstGeom prst="rect"/>
                  </pic:spPr>
                </pic:pic>
              </a:graphicData>
            </a:graphic>
          </wp:inline>
        </w:drawing>
      </w:r>
    </w:p>
    <w:p>
      <w:pPr>
        <w:jc w:val="center"/>
      </w:pPr>
      <w:r>
        <w:rPr>
          <w:rFonts w:ascii="Arial" w:hAnsi="Arial"/>
          <w:b/>
          <w:color w:val="C00000"/>
          <w:sz w:val="44"/>
        </w:rPr>
        <w:t>DATA PROTECTION POLICY</w:t>
      </w:r>
    </w:p>
    <w:p>
      <w:pPr>
        <w:spacing w:after="360"/>
        <w:jc w:val="center"/>
      </w:pPr>
      <w:r>
        <w:rPr>
          <w:rFonts w:ascii="Arial" w:hAnsi="Arial"/>
          <w:i/>
          <w:sz w:val="26"/>
        </w:rPr>
        <w:t>We celebrate all success</w:t>
      </w:r>
    </w:p>
    <w:tbl>
      <w:tblPr>
        <w:tblW w:type="auto" w:w="0"/>
        <w:jc w:val="center"/>
        <w:tblLayout w:type="fixed"/>
        <w:tblLook w:firstColumn="1" w:firstRow="1" w:lastColumn="0" w:lastRow="0" w:noHBand="0" w:noVBand="1" w:val="04A0"/>
      </w:tblPr>
      <w:tblGrid>
        <w:gridCol w:w="5040"/>
        <w:gridCol w:w="5040"/>
      </w:tblGrid>
      <w:tr>
        <w:tc>
          <w:tcPr>
            <w:tcW w:type="dxa" w:w="2880"/>
          </w:tcPr>
          <w:p>
            <w:r>
              <w:t>DATE UPDATED</w:t>
            </w:r>
          </w:p>
        </w:tc>
        <w:tc>
          <w:tcPr>
            <w:tcW w:type="dxa" w:w="6048"/>
            <w:tcBorders>
              <w:bottom w:val="single" w:sz="7" w:color="C8102E"/>
            </w:tcBorders>
          </w:tcPr>
          <w:p>
            <w:r>
              <w:t>September 2026</w:t>
            </w:r>
          </w:p>
        </w:tc>
      </w:tr>
      <w:tr>
        <w:tc>
          <w:tcPr>
            <w:tcW w:type="dxa" w:w="2880"/>
          </w:tcPr>
          <w:p>
            <w:r>
              <w:t>UPDATED BY</w:t>
            </w:r>
          </w:p>
        </w:tc>
        <w:tc>
          <w:tcPr>
            <w:tcW w:type="dxa" w:w="6048"/>
            <w:tcBorders>
              <w:bottom w:val="single" w:sz="7" w:color="C8102E"/>
            </w:tcBorders>
          </w:tcPr>
          <w:p>
            <w:r>
              <w:t>Danielle Barker, Headteacher</w:t>
            </w:r>
          </w:p>
        </w:tc>
      </w:tr>
      <w:tr>
        <w:tc>
          <w:tcPr>
            <w:tcW w:type="dxa" w:w="2880"/>
          </w:tcPr>
          <w:p>
            <w:r>
              <w:t>DOCUMENT OWNER</w:t>
            </w:r>
          </w:p>
        </w:tc>
        <w:tc>
          <w:tcPr>
            <w:tcW w:type="dxa" w:w="6048"/>
            <w:tcBorders>
              <w:bottom w:val="single" w:sz="7" w:color="C8102E"/>
            </w:tcBorders>
          </w:tcPr>
          <w:p>
            <w:r>
              <w:t>Satswana Ltd, outsourced Data Protection Officer</w:t>
            </w:r>
          </w:p>
        </w:tc>
      </w:tr>
      <w:tr>
        <w:tc>
          <w:tcPr>
            <w:tcW w:type="dxa" w:w="2880"/>
          </w:tcPr>
          <w:p>
            <w:r>
              <w:t>NEXT REVIEW DATE</w:t>
            </w:r>
          </w:p>
        </w:tc>
        <w:tc>
          <w:tcPr>
            <w:tcW w:type="dxa" w:w="6048"/>
            <w:tcBorders>
              <w:bottom w:val="single" w:sz="7" w:color="C8102E"/>
            </w:tcBorders>
          </w:tcPr>
          <w:p>
            <w:r>
              <w:t>September 2027</w:t>
            </w:r>
          </w:p>
        </w:tc>
      </w:tr>
    </w:tbl>
    <w:p/>
    <w:tbl>
      <w:tblPr>
        <w:tblW w:type="auto" w:w="0"/>
        <w:jc w:val="center"/>
        <w:tblLook w:firstColumn="1" w:firstRow="1" w:lastColumn="0" w:lastRow="0" w:noHBand="0" w:noVBand="1" w:val="04A0"/>
      </w:tblPr>
      <w:tblGrid>
        <w:gridCol w:w="10080"/>
      </w:tblGrid>
      <w:tr>
        <w:tc>
          <w:tcPr>
            <w:tcW w:type="dxa" w:w="10080"/>
            <w:shd w:fill="C8102E"/>
          </w:tcPr>
          <w:p>
            <w:pPr>
              <w:jc w:val="center"/>
            </w:pPr>
            <w:r>
              <w:rPr>
                <w:b/>
                <w:color w:val="FFFFFF"/>
              </w:rPr>
              <w:t>NORTHWAY SCHOOL - THREE SITES</w:t>
            </w:r>
          </w:p>
        </w:tc>
      </w:tr>
      <w:tr>
        <w:tc>
          <w:tcPr>
            <w:tcW w:type="dxa" w:w="10080"/>
            <w:shd w:fill="F4F4F4"/>
          </w:tcPr>
          <w:p>
            <w:pPr>
              <w:jc w:val="center"/>
            </w:pPr>
            <w:r>
              <w:t>Reception &amp; KS1 - Grasvenor Avenue, High Barnet, EN5 2BY</w:t>
            </w:r>
          </w:p>
        </w:tc>
      </w:tr>
      <w:tr>
        <w:tc>
          <w:tcPr>
            <w:tcW w:type="dxa" w:w="10080"/>
          </w:tcPr>
          <w:p>
            <w:pPr>
              <w:jc w:val="center"/>
            </w:pPr>
            <w:r>
              <w:t>KS2 - The Fairway, Mill Hill, NW7 3HS</w:t>
            </w:r>
          </w:p>
        </w:tc>
      </w:tr>
      <w:tr>
        <w:tc>
          <w:tcPr>
            <w:tcW w:type="dxa" w:w="10080"/>
            <w:shd w:fill="F4F4F4"/>
          </w:tcPr>
          <w:p>
            <w:pPr>
              <w:jc w:val="center"/>
            </w:pPr>
            <w:r>
              <w:t>KS3 &amp; KS4 - Pursley Road, Mill Hill, NW7 2BU</w:t>
            </w:r>
          </w:p>
        </w:tc>
      </w:tr>
    </w:tbl>
    <w:p>
      <w:pPr>
        <w:jc w:val="center"/>
      </w:pPr>
      <w:r>
        <w:t>Central office: 020 8359 5450  |  office@northway.barnet.sch.uk</w:t>
      </w:r>
    </w:p>
    <w:p>
      <w:r/>
    </w:p>
    <w:p>
      <w:r>
        <w:br/>
      </w:r>
    </w:p>
    <w:tbl>
      <w:tblPr>
        <w:tblStyle w:val="TableGrid"/>
        <w:tblW w:type="auto" w:w="0"/>
        <w:tblLook w:firstColumn="1" w:firstRow="1" w:lastColumn="0" w:lastRow="0" w:noHBand="0" w:noVBand="1" w:val="04A0"/>
      </w:tblPr>
      <w:tblGrid>
        <w:gridCol w:w="5040"/>
        <w:gridCol w:w="5040"/>
      </w:tblGrid>
      <w:tr>
        <w:tc>
          <w:tcPr>
            <w:tcW w:type="dxa" w:w="5040"/>
            <w:vAlign w:val="center"/>
          </w:tcPr>
          <w:p>
            <w:r>
              <w:t>Document title</w:t>
            </w:r>
          </w:p>
        </w:tc>
        <w:tc>
          <w:tcPr>
            <w:tcW w:type="dxa" w:w="5040"/>
            <w:vAlign w:val="center"/>
          </w:tcPr>
          <w:p>
            <w:r>
              <w:t>Data Protection Policy</w:t>
            </w:r>
          </w:p>
        </w:tc>
      </w:tr>
      <w:tr>
        <w:tc>
          <w:tcPr>
            <w:tcW w:type="dxa" w:w="5040"/>
            <w:vAlign w:val="center"/>
          </w:tcPr>
          <w:p>
            <w:r>
              <w:t>Organisation</w:t>
            </w:r>
          </w:p>
        </w:tc>
        <w:tc>
          <w:tcPr>
            <w:tcW w:type="dxa" w:w="5040"/>
            <w:vAlign w:val="center"/>
          </w:tcPr>
          <w:p>
            <w:r>
              <w:t>Northway School</w:t>
            </w:r>
          </w:p>
        </w:tc>
      </w:tr>
      <w:tr>
        <w:tc>
          <w:tcPr>
            <w:tcW w:type="dxa" w:w="5040"/>
            <w:vAlign w:val="center"/>
          </w:tcPr>
          <w:p>
            <w:r>
              <w:t>Address</w:t>
            </w:r>
          </w:p>
        </w:tc>
        <w:tc>
          <w:tcPr>
            <w:tcW w:type="dxa" w:w="5040"/>
            <w:vAlign w:val="center"/>
          </w:tcPr>
          <w:p>
            <w:r>
              <w:t>The Fairway, Mill Hill, London, NW7 3HS</w:t>
            </w:r>
          </w:p>
        </w:tc>
      </w:tr>
      <w:tr>
        <w:tc>
          <w:tcPr>
            <w:tcW w:type="dxa" w:w="5040"/>
            <w:vAlign w:val="center"/>
          </w:tcPr>
          <w:p>
            <w:r>
              <w:t>Version</w:t>
            </w:r>
          </w:p>
        </w:tc>
        <w:tc>
          <w:tcPr>
            <w:tcW w:type="dxa" w:w="5040"/>
            <w:vAlign w:val="center"/>
          </w:tcPr>
          <w:p>
            <w:r>
              <w:t>1.0</w:t>
            </w:r>
          </w:p>
        </w:tc>
      </w:tr>
      <w:tr>
        <w:tc>
          <w:tcPr>
            <w:tcW w:type="dxa" w:w="5040"/>
            <w:vAlign w:val="center"/>
          </w:tcPr>
          <w:p>
            <w:r>
              <w:t>Issued</w:t>
            </w:r>
          </w:p>
        </w:tc>
        <w:tc>
          <w:tcPr>
            <w:tcW w:type="dxa" w:w="5040"/>
            <w:vAlign w:val="center"/>
          </w:tcPr>
          <w:p>
            <w:r>
              <w:t>September 2026</w:t>
            </w:r>
          </w:p>
        </w:tc>
      </w:tr>
      <w:tr>
        <w:tc>
          <w:tcPr>
            <w:tcW w:type="dxa" w:w="5040"/>
            <w:vAlign w:val="center"/>
          </w:tcPr>
          <w:p>
            <w:r>
              <w:t>Next review due</w:t>
            </w:r>
          </w:p>
        </w:tc>
        <w:tc>
          <w:tcPr>
            <w:tcW w:type="dxa" w:w="5040"/>
            <w:vAlign w:val="center"/>
          </w:tcPr>
          <w:p>
            <w:r>
              <w:t>September 2027</w:t>
            </w:r>
          </w:p>
        </w:tc>
      </w:tr>
      <w:tr>
        <w:tc>
          <w:tcPr>
            <w:tcW w:type="dxa" w:w="5040"/>
            <w:vAlign w:val="center"/>
          </w:tcPr>
          <w:p>
            <w:r>
              <w:t>Document owner</w:t>
            </w:r>
          </w:p>
        </w:tc>
        <w:tc>
          <w:tcPr>
            <w:tcW w:type="dxa" w:w="5040"/>
            <w:vAlign w:val="center"/>
          </w:tcPr>
          <w:p>
            <w:r>
              <w:t>Data Protection Officer - Satswana Ltd (outsourced Data Protection Officer) - dpo@satswana.com</w:t>
            </w:r>
          </w:p>
        </w:tc>
      </w:tr>
      <w:tr>
        <w:tc>
          <w:tcPr>
            <w:tcW w:type="dxa" w:w="5040"/>
            <w:vAlign w:val="center"/>
          </w:tcPr>
          <w:p>
            <w:r>
              <w:t>Senior Information Risk Owner</w:t>
            </w:r>
          </w:p>
        </w:tc>
        <w:tc>
          <w:tcPr>
            <w:tcW w:type="dxa" w:w="5040"/>
            <w:vAlign w:val="center"/>
          </w:tcPr>
          <w:p>
            <w:r>
              <w:t>Danielle Barker, Headteacher</w:t>
            </w:r>
          </w:p>
        </w:tc>
      </w:tr>
      <w:tr>
        <w:tc>
          <w:tcPr>
            <w:tcW w:type="dxa" w:w="5040"/>
            <w:vAlign w:val="center"/>
          </w:tcPr>
          <w:p>
            <w:pPr/>
            <w:r>
              <w:rPr/>
              <w:t>ICO registration</w:t>
            </w:r>
          </w:p>
        </w:tc>
        <w:tc>
          <w:tcPr>
            <w:tcW w:type="dxa" w:w="5040"/>
            <w:vAlign w:val="center"/>
          </w:tcPr>
          <w:p>
            <w:r>
              <w:t>Z5034661</w:t>
            </w:r>
          </w:p>
        </w:tc>
      </w:tr>
      <w:tr>
        <w:tc>
          <w:tcPr>
            <w:tcW w:type="dxa" w:w="5040"/>
            <w:vAlign w:val="center"/>
          </w:tcPr>
          <w:p>
            <w:r>
              <w:t>Approved by</w:t>
            </w:r>
          </w:p>
        </w:tc>
        <w:tc>
          <w:tcPr>
            <w:tcW w:type="dxa" w:w="5040"/>
            <w:vAlign w:val="center"/>
          </w:tcPr>
          <w:p>
            <w:r>
              <w:t>Governing Body of Northway School</w:t>
            </w:r>
          </w:p>
        </w:tc>
      </w:tr>
      <w:tr>
        <w:tc>
          <w:tcPr>
            <w:tcW w:type="dxa" w:w="5040"/>
            <w:vAlign w:val="center"/>
          </w:tcPr>
          <w:p>
            <w:r>
              <w:t>Date of approval</w:t>
            </w:r>
          </w:p>
        </w:tc>
        <w:tc>
          <w:tcPr>
            <w:tcW w:type="dxa" w:w="5040"/>
            <w:vAlign w:val="center"/>
          </w:tcPr>
          <w:p>
            <w:r>
              <w:t>[TO COMPLETE FOLLOWING GOVERNOR APPROVAL]</w:t>
            </w:r>
          </w:p>
        </w:tc>
      </w:tr>
      <w:tr>
        <w:tc>
          <w:tcPr>
            <w:tcW w:type="dxa" w:w="5040"/>
            <w:vAlign w:val="center"/>
          </w:tcPr>
          <w:p>
            <w:r>
              <w:t>Classification</w:t>
            </w:r>
          </w:p>
        </w:tc>
        <w:tc>
          <w:tcPr>
            <w:tcW w:type="dxa" w:w="5040"/>
            <w:vAlign w:val="center"/>
          </w:tcPr>
          <w:p>
            <w:r>
              <w:t>Official - internal use and publication as directed</w:t>
            </w:r>
          </w:p>
        </w:tc>
      </w:tr>
    </w:tbl>
    <w:p>
      <w:pPr>
        <w:pStyle w:val="Heading1"/>
        <w:keepNext/>
        <w:spacing w:before="200" w:after="80"/>
      </w:pPr>
      <w:r>
        <w:rPr>
          <w:rFonts w:ascii="Arial" w:hAnsi="Arial"/>
          <w:b/>
          <w:color w:val="C00000"/>
          <w:sz w:val="28"/>
        </w:rPr>
        <w:t>1. Introduction and Status of this Policy</w:t>
      </w:r>
    </w:p>
    <w:p>
      <w:pPr>
        <w:spacing w:after="100" w:line="252" w:lineRule="auto"/>
      </w:pPr>
      <w:r>
        <w:rPr>
          <w:rFonts w:ascii="Arial" w:hAnsi="Arial"/>
          <w:sz w:val="19"/>
        </w:rPr>
        <w:t>1.1 Northway School of The Fairway, Mill Hill, London, NW7 3HS is a data controller registered with the Information Commissioner's Office (ICO) under registration number Z5034661.</w:t>
      </w:r>
    </w:p>
    <w:p>
      <w:pPr>
        <w:spacing w:after="100" w:line="252" w:lineRule="auto"/>
      </w:pPr>
      <w:r>
        <w:rPr>
          <w:rFonts w:ascii="Arial" w:hAnsi="Arial"/>
          <w:sz w:val="19"/>
        </w:rPr>
        <w:t>1.2 This Policy applies to all personal data processed by the school, in any format (electronic, paper, audio, image or biometric) and on any device or system, whether school-owned or personally owned where used for school purposes.</w:t>
      </w:r>
    </w:p>
    <w:p>
      <w:pPr>
        <w:spacing w:after="100" w:line="252" w:lineRule="auto"/>
      </w:pPr>
      <w:r>
        <w:rPr>
          <w:rFonts w:ascii="Arial" w:hAnsi="Arial"/>
          <w:sz w:val="19"/>
        </w:rPr>
        <w:t>1.3 This Policy applies to all governors, the Headteacher and senior leadership team, all teaching and support staff (permanent, fixed-term, temporary and supply), volunteers, students on placement, contractors and any other person processing personal data on behalf of the school.</w:t>
      </w:r>
    </w:p>
    <w:p>
      <w:pPr>
        <w:spacing w:after="100" w:line="252" w:lineRule="auto"/>
      </w:pPr>
      <w:r>
        <w:rPr>
          <w:rFonts w:ascii="Arial" w:hAnsi="Arial"/>
          <w:sz w:val="19"/>
        </w:rPr>
        <w:t>1.4 Compliance with this Policy is a condition of employment and of engagement. It is referenced in staff contracts, the staff code of conduct and the school's standard terms with suppliers.</w:t>
      </w:r>
    </w:p>
    <w:p>
      <w:pPr>
        <w:spacing w:after="100" w:line="252" w:lineRule="auto"/>
      </w:pPr>
      <w:r>
        <w:rPr>
          <w:rFonts w:ascii="Arial" w:hAnsi="Arial"/>
          <w:sz w:val="19"/>
        </w:rPr>
        <w:t>1.5 This Policy should be read together with the school's Information Security Policy, Acceptable Use Policy, Retention Schedule, Data Breach Response Plan, CCTV Policy, Safeguarding Policy and the published privacy notices.</w:t>
      </w:r>
    </w:p>
    <w:p>
      <w:pPr>
        <w:pStyle w:val="Heading1"/>
        <w:keepNext/>
        <w:spacing w:before="200" w:after="80"/>
      </w:pPr>
      <w:r>
        <w:rPr>
          <w:rFonts w:ascii="Arial" w:hAnsi="Arial"/>
          <w:b/>
          <w:color w:val="C00000"/>
          <w:sz w:val="28"/>
        </w:rPr>
        <w:t>2. Definitions</w:t>
      </w:r>
    </w:p>
    <w:p>
      <w:pPr>
        <w:spacing w:after="100" w:line="252" w:lineRule="auto"/>
      </w:pPr>
      <w:r>
        <w:rPr>
          <w:rFonts w:ascii="Arial" w:hAnsi="Arial"/>
          <w:sz w:val="19"/>
        </w:rPr>
        <w:t>"Personal data" — any information relating to an identified or identifiable living individual, including names, contact details, pupil ID numbers, photographs, CCTV images, IP addresses and opinions about a person.</w:t>
      </w:r>
    </w:p>
    <w:p>
      <w:pPr>
        <w:spacing w:after="100" w:line="252" w:lineRule="auto"/>
      </w:pPr>
      <w:r>
        <w:rPr>
          <w:rFonts w:ascii="Arial" w:hAnsi="Arial"/>
          <w:sz w:val="19"/>
        </w:rPr>
        <w:t>"Special category data" — personal data revealing racial or ethnic origin, political opinions, religious or philosophical beliefs, trade union membership, genetic data, biometric data used for identification, data concerning health, and data concerning a person's sex life or sexual orientation.</w:t>
      </w:r>
    </w:p>
    <w:p>
      <w:pPr>
        <w:spacing w:after="100" w:line="252" w:lineRule="auto"/>
      </w:pPr>
      <w:r>
        <w:rPr>
          <w:rFonts w:ascii="Arial" w:hAnsi="Arial"/>
          <w:sz w:val="19"/>
        </w:rPr>
        <w:t>"Criminal offence data" — personal data relating to criminal convictions and offences or related security measures, including DBS information.</w:t>
      </w:r>
    </w:p>
    <w:p>
      <w:pPr>
        <w:spacing w:after="100" w:line="252" w:lineRule="auto"/>
      </w:pPr>
      <w:r>
        <w:rPr>
          <w:rFonts w:ascii="Arial" w:hAnsi="Arial"/>
          <w:sz w:val="19"/>
        </w:rPr>
        <w:t>"Processing" — any operation performed on personal data, including collection, recording, storage, alteration, retrieval, consultation, use, disclosure, transmission, restriction, erasure and destruction.</w:t>
      </w:r>
    </w:p>
    <w:p>
      <w:pPr>
        <w:spacing w:after="100" w:line="252" w:lineRule="auto"/>
      </w:pPr>
      <w:r>
        <w:rPr>
          <w:rFonts w:ascii="Arial" w:hAnsi="Arial"/>
          <w:sz w:val="19"/>
        </w:rPr>
        <w:t>"Data subject" — the individual the personal data is about (pupils, parents and carers, staff, governors, applicants, visitors, alumni and contractors).</w:t>
      </w:r>
    </w:p>
    <w:p>
      <w:pPr>
        <w:spacing w:after="100" w:line="252" w:lineRule="auto"/>
      </w:pPr>
      <w:r>
        <w:rPr>
          <w:rFonts w:ascii="Arial" w:hAnsi="Arial"/>
          <w:sz w:val="19"/>
        </w:rPr>
        <w:t>"Controller" — the organisation that determines the purposes and means of processing. The school is the controller for the processing described in its privacy notices.</w:t>
      </w:r>
    </w:p>
    <w:p>
      <w:pPr>
        <w:spacing w:after="100" w:line="252" w:lineRule="auto"/>
      </w:pPr>
      <w:r>
        <w:rPr>
          <w:rFonts w:ascii="Arial" w:hAnsi="Arial"/>
          <w:sz w:val="19"/>
        </w:rPr>
        <w:t>"Processor" — an organisation that processes personal data on the school's instructions, for example a management information system (MIS) provider or cloud platform.</w:t>
      </w:r>
    </w:p>
    <w:p>
      <w:pPr>
        <w:spacing w:after="100" w:line="252" w:lineRule="auto"/>
      </w:pPr>
      <w:r>
        <w:rPr>
          <w:rFonts w:ascii="Arial" w:hAnsi="Arial"/>
          <w:sz w:val="19"/>
        </w:rPr>
        <w:t>"Personal data breach" — a breach of security leading to the accidental or unlawful destruction, loss, alteration, unauthorised disclosure of, or access to, personal data.</w:t>
      </w:r>
    </w:p>
    <w:p>
      <w:pPr>
        <w:pStyle w:val="Heading1"/>
        <w:keepNext/>
        <w:spacing w:before="200" w:after="80"/>
      </w:pPr>
      <w:r>
        <w:rPr>
          <w:rFonts w:ascii="Arial" w:hAnsi="Arial"/>
          <w:b/>
          <w:color w:val="C00000"/>
          <w:sz w:val="28"/>
        </w:rPr>
        <w:t>3. The Data Protection Principles</w:t>
      </w:r>
    </w:p>
    <w:p>
      <w:pPr>
        <w:spacing w:after="100" w:line="252" w:lineRule="auto"/>
      </w:pPr>
      <w:r>
        <w:rPr>
          <w:rFonts w:ascii="Arial" w:hAnsi="Arial"/>
          <w:sz w:val="19"/>
        </w:rPr>
        <w:t>The school complies with the six principles in Article 5(1) UK GDPR and with the accountability principle in Article 5(2). Personal data shall be:</w:t>
      </w:r>
    </w:p>
    <w:p>
      <w:pPr>
        <w:spacing w:after="100" w:line="252" w:lineRule="auto"/>
      </w:pPr>
      <w:r>
        <w:rPr>
          <w:rFonts w:ascii="Arial" w:hAnsi="Arial"/>
          <w:sz w:val="19"/>
        </w:rPr>
        <w:t>(a) processed lawfully, fairly and in a transparent manner;</w:t>
      </w:r>
    </w:p>
    <w:p>
      <w:pPr>
        <w:spacing w:after="100" w:line="252" w:lineRule="auto"/>
      </w:pPr>
      <w:r>
        <w:rPr>
          <w:rFonts w:ascii="Arial" w:hAnsi="Arial"/>
          <w:sz w:val="19"/>
        </w:rPr>
        <w:t>(b) collected for specified, explicit and legitimate purposes and not further processed in a manner incompatible with those purposes;</w:t>
      </w:r>
    </w:p>
    <w:p>
      <w:pPr>
        <w:spacing w:after="100" w:line="252" w:lineRule="auto"/>
      </w:pPr>
      <w:r>
        <w:rPr>
          <w:rFonts w:ascii="Arial" w:hAnsi="Arial"/>
          <w:sz w:val="19"/>
        </w:rPr>
        <w:t>(c) adequate, relevant and limited to what is necessary (data minimisation);</w:t>
      </w:r>
    </w:p>
    <w:p>
      <w:pPr>
        <w:spacing w:after="100" w:line="252" w:lineRule="auto"/>
      </w:pPr>
      <w:r>
        <w:rPr>
          <w:rFonts w:ascii="Arial" w:hAnsi="Arial"/>
          <w:sz w:val="19"/>
        </w:rPr>
        <w:t>(d) accurate and, where necessary, kept up to date;</w:t>
      </w:r>
    </w:p>
    <w:p>
      <w:pPr>
        <w:spacing w:after="100" w:line="252" w:lineRule="auto"/>
      </w:pPr>
      <w:r>
        <w:rPr>
          <w:rFonts w:ascii="Arial" w:hAnsi="Arial"/>
          <w:sz w:val="19"/>
        </w:rPr>
        <w:t>(e) kept in a form which permits identification for no longer than is necessary (storage limitation), in accordance with the school's Retention Schedule;</w:t>
      </w:r>
    </w:p>
    <w:p>
      <w:pPr>
        <w:spacing w:after="100" w:line="252" w:lineRule="auto"/>
      </w:pPr>
      <w:r>
        <w:rPr>
          <w:rFonts w:ascii="Arial" w:hAnsi="Arial"/>
          <w:sz w:val="19"/>
        </w:rPr>
        <w:t>(f) processed in a manner that ensures appropriate security, including protection against unauthorised or unlawful processing and against accidental loss, destruction or damage.</w:t>
      </w:r>
    </w:p>
    <w:p>
      <w:pPr>
        <w:spacing w:after="100" w:line="252" w:lineRule="auto"/>
      </w:pPr>
      <w:r>
        <w:rPr>
          <w:rFonts w:ascii="Arial" w:hAnsi="Arial"/>
          <w:sz w:val="19"/>
        </w:rPr>
        <w:t>The school is responsible for, and must be able to demonstrate, compliance with these principles. It does so through this Policy, its Record of Processing Activities (ROPA), Data Protection Impact Assessments (DPIAs), staff training records, contracts with processors, and reporting to the Governing Body.</w:t>
      </w:r>
    </w:p>
    <w:p>
      <w:pPr>
        <w:pStyle w:val="Heading1"/>
        <w:keepNext/>
        <w:spacing w:before="200" w:after="80"/>
      </w:pPr>
      <w:r>
        <w:rPr>
          <w:rFonts w:ascii="Arial" w:hAnsi="Arial"/>
          <w:b/>
          <w:color w:val="C00000"/>
          <w:sz w:val="28"/>
        </w:rPr>
        <w:t>4. Roles and Responsibilities</w:t>
      </w:r>
    </w:p>
    <w:p>
      <w:pPr>
        <w:spacing w:after="100" w:line="252" w:lineRule="auto"/>
      </w:pPr>
      <w:r>
        <w:rPr>
          <w:rFonts w:ascii="Arial" w:hAnsi="Arial"/>
          <w:sz w:val="19"/>
        </w:rPr>
        <w:t>4.1 The Governing Body of Northway School has overall accountability for data protection compliance. It approves this Policy, receives an annual compliance report from the Data Protection Officer, and satisfies itself that data protection risks are recorded on the school's risk register.</w:t>
      </w:r>
    </w:p>
    <w:p>
      <w:pPr>
        <w:spacing w:after="100" w:line="252" w:lineRule="auto"/>
      </w:pPr>
      <w:r>
        <w:rPr>
          <w:rFonts w:ascii="Arial" w:hAnsi="Arial"/>
          <w:sz w:val="19"/>
        </w:rPr>
        <w:t>4.2 The Headteacher, Danielle Barker, is the Senior Information Risk Owner (SIRO). The SIRO owns the school's information risk, signs off high-risk DPIAs, and takes the final decision on ICO and data subject notification following a breach, on the advice of the DPO.</w:t>
      </w:r>
    </w:p>
    <w:p>
      <w:pPr>
        <w:spacing w:after="100" w:line="252" w:lineRule="auto"/>
      </w:pPr>
      <w:r>
        <w:rPr>
          <w:rFonts w:ascii="Arial" w:hAnsi="Arial"/>
          <w:sz w:val="19"/>
        </w:rPr>
        <w:t>4.3 The Data Protection Officer is Satswana Ltd (outsourced Data Protection Officer), contactable at dpo@satswana.com. The DPO is appointed under Article 37 UK GDPR (mandatory for public authorities). The DPO: informs and advises the school of its obligations; monitors compliance including audits; advises on DPIAs; is the contact point for the ICO; and is available to data subjects. The DPO reports directly to the Headteacher and Governing Body, must not be instructed on how to carry out the role, and must not be penalised for performing it.</w:t>
      </w:r>
    </w:p>
    <w:p>
      <w:pPr>
        <w:spacing w:after="100" w:line="252" w:lineRule="auto"/>
      </w:pPr>
      <w:r>
        <w:rPr>
          <w:rFonts w:ascii="Arial" w:hAnsi="Arial"/>
          <w:sz w:val="19"/>
        </w:rPr>
        <w:t>4.4 Information Asset Owners (typically the School Business Manager for finance and HR data, the Designated Safeguarding Lead for safeguarding data, the SENCO for SEND data, the Exams Officer for assessment data, and the IT lead for systems) are responsible for the accuracy, security and lawful retention of the data in their areas.</w:t>
      </w:r>
    </w:p>
    <w:p>
      <w:pPr>
        <w:spacing w:after="100" w:line="252" w:lineRule="auto"/>
      </w:pPr>
      <w:r>
        <w:rPr>
          <w:rFonts w:ascii="Arial" w:hAnsi="Arial"/>
          <w:sz w:val="19"/>
        </w:rPr>
        <w:t>4.5 All staff and volunteers must: complete data protection training on induction and annually thereafter; only access personal data they need for their role; keep personal data secure; use only school-approved systems; report any suspected breach immediately in accordance with the Data Breach Response Plan; and forward any request from an individual about their data to the DPO without delay.</w:t>
      </w:r>
    </w:p>
    <w:p>
      <w:pPr>
        <w:pStyle w:val="Heading1"/>
        <w:keepNext/>
        <w:spacing w:before="200" w:after="80"/>
      </w:pPr>
      <w:r>
        <w:rPr>
          <w:rFonts w:ascii="Arial" w:hAnsi="Arial"/>
          <w:b/>
          <w:color w:val="C00000"/>
          <w:sz w:val="28"/>
        </w:rPr>
        <w:t>5. Lawful Bases for Processing</w:t>
      </w:r>
    </w:p>
    <w:p>
      <w:pPr>
        <w:spacing w:after="100" w:line="252" w:lineRule="auto"/>
      </w:pPr>
      <w:r>
        <w:rPr>
          <w:rFonts w:ascii="Arial" w:hAnsi="Arial"/>
          <w:sz w:val="19"/>
        </w:rPr>
        <w:t>5.1 The school identifies and documents a lawful basis under Article 6 UK GDPR for every processing activity in its ROPA. In practice the school relies on:</w:t>
      </w:r>
    </w:p>
    <w:p>
      <w:pPr>
        <w:spacing w:after="100" w:line="252" w:lineRule="auto"/>
      </w:pPr>
      <w:r>
        <w:rPr>
          <w:rFonts w:ascii="Arial" w:hAnsi="Arial"/>
          <w:sz w:val="19"/>
        </w:rPr>
        <w:t>(a) Public task — Article 6(1)(e): the majority of the school's processing, being necessary for the performance of a task carried out in the public interest, namely the provision of education, safeguarding of children and compliance with the Education Acts.</w:t>
      </w:r>
    </w:p>
    <w:p>
      <w:pPr>
        <w:spacing w:after="100" w:line="252" w:lineRule="auto"/>
      </w:pPr>
      <w:r>
        <w:rPr>
          <w:rFonts w:ascii="Arial" w:hAnsi="Arial"/>
          <w:sz w:val="19"/>
        </w:rPr>
        <w:t>(b) Legal obligation — Article 6(1)(c): the school census and other DfE returns, safeguarding referrals, employment and tax records, and health and safety reporting.</w:t>
      </w:r>
    </w:p>
    <w:p>
      <w:pPr>
        <w:spacing w:after="100" w:line="252" w:lineRule="auto"/>
      </w:pPr>
      <w:r>
        <w:rPr>
          <w:rFonts w:ascii="Arial" w:hAnsi="Arial"/>
          <w:sz w:val="19"/>
        </w:rPr>
        <w:t>(c) Contract — Article 6(1)(b): staff employment and contracts with parents for chargeable services such as trips and wraparound care.</w:t>
      </w:r>
    </w:p>
    <w:p>
      <w:pPr>
        <w:spacing w:after="100" w:line="252" w:lineRule="auto"/>
      </w:pPr>
      <w:r>
        <w:rPr>
          <w:rFonts w:ascii="Arial" w:hAnsi="Arial"/>
          <w:sz w:val="19"/>
        </w:rPr>
        <w:t>(d) Vital interests — Article 6(1)(d): emergency medical treatment and immediate risk of harm.</w:t>
      </w:r>
    </w:p>
    <w:p>
      <w:pPr>
        <w:spacing w:after="100" w:line="252" w:lineRule="auto"/>
      </w:pPr>
      <w:r>
        <w:rPr>
          <w:rFonts w:ascii="Arial" w:hAnsi="Arial"/>
          <w:sz w:val="19"/>
        </w:rPr>
        <w:t>(e) Legitimate interests — Article 6(1)(f): limited non-statutory activity such as alumni relations and voluntary fundraising, supported by a documented Legitimate Interests Assessment.</w:t>
      </w:r>
    </w:p>
    <w:p>
      <w:pPr>
        <w:spacing w:after="100" w:line="252" w:lineRule="auto"/>
      </w:pPr>
      <w:r>
        <w:rPr>
          <w:rFonts w:ascii="Arial" w:hAnsi="Arial"/>
          <w:sz w:val="19"/>
        </w:rPr>
        <w:t>(f) Consent — Article 6(1)(a): only where the school has a genuine free choice, for example marketing photographs on social media, optional biometric catering systems and optional communications.</w:t>
      </w:r>
    </w:p>
    <w:p>
      <w:pPr>
        <w:spacing w:after="100" w:line="252" w:lineRule="auto"/>
      </w:pPr>
      <w:r>
        <w:rPr>
          <w:rFonts w:ascii="Arial" w:hAnsi="Arial"/>
          <w:sz w:val="19"/>
        </w:rPr>
        <w:t>5.2 Where the school relies on consent, consent is requested separately from other terms, is recorded with the date and method, and can be withdrawn at any time without detriment. Consent is not used where the school and the individual are in an imbalanced relationship such that consent could not be freely given.</w:t>
      </w:r>
    </w:p>
    <w:p>
      <w:pPr>
        <w:spacing w:after="100" w:line="252" w:lineRule="auto"/>
      </w:pPr>
      <w:r>
        <w:rPr>
          <w:rFonts w:ascii="Arial" w:hAnsi="Arial"/>
          <w:sz w:val="19"/>
        </w:rPr>
        <w:t>5.3 Special category data is processed only where an Article 9(2) condition also applies — most commonly explicit consent (9(2)(a)), employment and social protection law (9(2)(b)), vital interests (9(2)(c)), substantial public interest (9(2)(g), with the relevant Schedule 1 DPA 2018 condition, principally safeguarding of children and of individuals at risk), and health or social care (9(2)(h)). The school maintains an Appropriate Policy Document as required by Schedule 1 Part 4 DPA 2018.</w:t>
      </w:r>
    </w:p>
    <w:p>
      <w:pPr>
        <w:spacing w:after="100" w:line="252" w:lineRule="auto"/>
      </w:pPr>
      <w:r>
        <w:rPr>
          <w:rFonts w:ascii="Arial" w:hAnsi="Arial"/>
          <w:sz w:val="19"/>
        </w:rPr>
        <w:t>5.4 Criminal offence data, including DBS certificate information, is processed under Schedule 1 DPA 2018 for the purposes of safer recruitment and safeguarding, is recorded only as a certificate number, date and outcome, and the certificate itself is not retained beyond six months.</w:t>
      </w:r>
    </w:p>
    <w:p>
      <w:pPr>
        <w:pStyle w:val="Heading1"/>
        <w:keepNext/>
        <w:spacing w:before="200" w:after="80"/>
      </w:pPr>
      <w:r>
        <w:rPr>
          <w:rFonts w:ascii="Arial" w:hAnsi="Arial"/>
          <w:b/>
          <w:color w:val="C00000"/>
          <w:sz w:val="28"/>
        </w:rPr>
        <w:t>6. Transparency and Privacy Notices</w:t>
      </w:r>
    </w:p>
    <w:p>
      <w:pPr>
        <w:spacing w:after="100" w:line="252" w:lineRule="auto"/>
      </w:pPr>
      <w:r>
        <w:rPr>
          <w:rFonts w:ascii="Arial" w:hAnsi="Arial"/>
          <w:sz w:val="19"/>
        </w:rPr>
        <w:t>6.1 The school provides Articles 13 and 14 information through layered privacy notices for pupils and parents, staff, governors, job applicants, visitors and volunteers. These are published at www.northway.barnet.sch.uk, issued at the point of admission or appointment, and available in hard copy and, on request, in accessible formats.</w:t>
      </w:r>
    </w:p>
    <w:p>
      <w:pPr>
        <w:spacing w:after="100" w:line="252" w:lineRule="auto"/>
      </w:pPr>
      <w:r>
        <w:rPr>
          <w:rFonts w:ascii="Arial" w:hAnsi="Arial"/>
          <w:sz w:val="19"/>
        </w:rPr>
        <w:t>6.2 Privacy notices are written in clear, plain language. A short child-friendly version of the pupil notice is provided and is used in personal development lessons.</w:t>
      </w:r>
    </w:p>
    <w:p>
      <w:pPr>
        <w:spacing w:after="100" w:line="252" w:lineRule="auto"/>
      </w:pPr>
      <w:r>
        <w:rPr>
          <w:rFonts w:ascii="Arial" w:hAnsi="Arial"/>
          <w:sz w:val="19"/>
        </w:rPr>
        <w:t>6.3 Privacy notices are reviewed at least annually and whenever a new purpose, system or recipient of data is introduced. Where the school begins to use personal data for a new and incompatible purpose, individuals are informed before that processing starts.</w:t>
      </w:r>
    </w:p>
    <w:p>
      <w:pPr>
        <w:pStyle w:val="Heading1"/>
        <w:keepNext/>
        <w:spacing w:before="200" w:after="80"/>
      </w:pPr>
      <w:r>
        <w:rPr>
          <w:rFonts w:ascii="Arial" w:hAnsi="Arial"/>
          <w:b/>
          <w:color w:val="C00000"/>
          <w:sz w:val="28"/>
        </w:rPr>
        <w:t>7. Individual Rights</w:t>
      </w:r>
    </w:p>
    <w:p>
      <w:pPr>
        <w:spacing w:after="100" w:line="252" w:lineRule="auto"/>
      </w:pPr>
      <w:r>
        <w:rPr>
          <w:rFonts w:ascii="Arial" w:hAnsi="Arial"/>
          <w:sz w:val="19"/>
        </w:rPr>
        <w:t>7.1 Individuals have the following rights, which the school upholds free of charge and normally within one calendar month (extendable by two further months for complex or numerous requests, with the individual informed within the first month):</w:t>
      </w:r>
    </w:p>
    <w:p>
      <w:pPr>
        <w:spacing w:after="100" w:line="252" w:lineRule="auto"/>
      </w:pPr>
      <w:r>
        <w:rPr>
          <w:rFonts w:ascii="Arial" w:hAnsi="Arial"/>
          <w:sz w:val="19"/>
        </w:rPr>
        <w:t>(a) the right to be informed; (b) the right of access (subject access request); (c) the right to rectification; (d) the right to erasure; (e) the right to restrict processing; (f) the right to data portability; (g) the right to object; and (h) rights in relation to automated decision-making and profiling.</w:t>
      </w:r>
    </w:p>
    <w:p>
      <w:pPr>
        <w:spacing w:after="100" w:line="252" w:lineRule="auto"/>
      </w:pPr>
      <w:r>
        <w:rPr>
          <w:rFonts w:ascii="Arial" w:hAnsi="Arial"/>
          <w:sz w:val="19"/>
        </w:rPr>
        <w:t>7.2 All requests, however received and however worded, must be forwarded to dpo@satswana.com on the day of receipt. A request does not need to mention data protection or be in writing to be valid.</w:t>
      </w:r>
    </w:p>
    <w:p>
      <w:pPr>
        <w:spacing w:after="100" w:line="252" w:lineRule="auto"/>
      </w:pPr>
      <w:r>
        <w:rPr>
          <w:rFonts w:ascii="Arial" w:hAnsi="Arial"/>
          <w:sz w:val="19"/>
        </w:rPr>
        <w:t>7.3 Subject access requests are logged, the requester's identity is verified proportionately, and disclosure is made after review for third-party data, safeguarding information and other exemptions in Schedule 2 and Schedule 3 DPA 2018 (including the education-specific exemptions relating to serious harm and social work data).</w:t>
      </w:r>
    </w:p>
    <w:p>
      <w:pPr>
        <w:spacing w:after="100" w:line="252" w:lineRule="auto"/>
      </w:pPr>
      <w:r>
        <w:rPr>
          <w:rFonts w:ascii="Arial" w:hAnsi="Arial"/>
          <w:sz w:val="19"/>
        </w:rPr>
        <w:t>7.4 A pupil may make their own request where they have sufficient maturity to understand the request; the school assesses competence case by case, generally presuming competence from age 12 while considering each child individually. Parental requests are handled as requests made on behalf of the child, with the child's views taken into account.</w:t>
      </w:r>
    </w:p>
    <w:p>
      <w:pPr>
        <w:spacing w:after="100" w:line="252" w:lineRule="auto"/>
      </w:pPr>
      <w:r>
        <w:rPr>
          <w:rFonts w:ascii="Arial" w:hAnsi="Arial"/>
          <w:sz w:val="19"/>
        </w:rPr>
        <w:t>7.5 Parents have a separate statutory right of access to their child's official educational record under the Education (Pupil Information) (England) Regulations 2005, which must be met within 15 school days.</w:t>
      </w:r>
    </w:p>
    <w:p>
      <w:pPr>
        <w:spacing w:after="100" w:line="252" w:lineRule="auto"/>
      </w:pPr>
      <w:r>
        <w:rPr>
          <w:rFonts w:ascii="Arial" w:hAnsi="Arial"/>
          <w:sz w:val="19"/>
        </w:rPr>
        <w:t>7.6 The school does not carry out solely automated decision-making with legal or similarly significant effects. Any use of profiling or predictive tools in assessment or attendance monitoring is subject to a DPIA and always involves meaningful human review.</w:t>
      </w:r>
    </w:p>
    <w:p>
      <w:pPr>
        <w:spacing w:after="100" w:line="252" w:lineRule="auto"/>
      </w:pPr>
      <w:r>
        <w:rPr>
          <w:rFonts w:ascii="Arial" w:hAnsi="Arial"/>
          <w:sz w:val="19"/>
        </w:rPr>
        <w:t>7.7 Individuals are informed of their right to complain to the school in the first instance, then to the ICO at ico.org.uk or 0303 123 1113.</w:t>
      </w:r>
    </w:p>
    <w:p>
      <w:pPr>
        <w:pStyle w:val="Heading1"/>
        <w:keepNext/>
        <w:spacing w:before="200" w:after="80"/>
      </w:pPr>
      <w:r>
        <w:rPr>
          <w:rFonts w:ascii="Arial" w:hAnsi="Arial"/>
          <w:b/>
          <w:color w:val="C00000"/>
          <w:sz w:val="28"/>
        </w:rPr>
        <w:t>8. Data Sharing and Processors</w:t>
      </w:r>
    </w:p>
    <w:p>
      <w:pPr>
        <w:spacing w:after="100" w:line="252" w:lineRule="auto"/>
      </w:pPr>
      <w:r>
        <w:rPr>
          <w:rFonts w:ascii="Arial" w:hAnsi="Arial"/>
          <w:sz w:val="19"/>
        </w:rPr>
        <w:t>8.1 The school shares personal data only where it has a lawful basis and, in the case of special category data, an Article 9 condition. Routine recipients are set out in the school's privacy notices and ROPA, and include the Department for Education, London Borough of Barnet, examination boards, the school nursing and wider health service, the school's MIS and EdTech providers, catering and transport providers, auditors, and successor schools.</w:t>
      </w:r>
    </w:p>
    <w:p>
      <w:pPr>
        <w:spacing w:after="100" w:line="252" w:lineRule="auto"/>
      </w:pPr>
      <w:r>
        <w:rPr>
          <w:rFonts w:ascii="Arial" w:hAnsi="Arial"/>
          <w:sz w:val="19"/>
        </w:rPr>
        <w:t>8.2 Before any new supplier processes personal data, the school completes due diligence covering the supplier's security measures, sub-processors, retention practices, location of data and breach history, and enters into a written contract meeting Article 28 UK GDPR using the school's Processor Agreement template.</w:t>
      </w:r>
    </w:p>
    <w:p>
      <w:pPr>
        <w:spacing w:after="100" w:line="252" w:lineRule="auto"/>
      </w:pPr>
      <w:r>
        <w:rPr>
          <w:rFonts w:ascii="Arial" w:hAnsi="Arial"/>
          <w:sz w:val="19"/>
        </w:rPr>
        <w:t>8.3 Unplanned or urgent disclosures — for example to the police, social care or the courts — are permitted where an exemption applies. Staff must not disclose personal data in response to any external request without first consulting the DPO or, in an emergency involving risk to a child, the Designated Safeguarding Lead, and must record what was disclosed, to whom, when and on what basis.</w:t>
      </w:r>
    </w:p>
    <w:p>
      <w:pPr>
        <w:spacing w:after="100" w:line="252" w:lineRule="auto"/>
      </w:pPr>
      <w:r>
        <w:rPr>
          <w:rFonts w:ascii="Arial" w:hAnsi="Arial"/>
          <w:sz w:val="19"/>
        </w:rPr>
        <w:t>8.4 Where the school shares data with another controller on an ongoing basis, a Data Sharing Agreement is put in place, based on the ICO Data Sharing Code of Practice.</w:t>
      </w:r>
    </w:p>
    <w:p>
      <w:pPr>
        <w:spacing w:after="100" w:line="252" w:lineRule="auto"/>
      </w:pPr>
      <w:r>
        <w:rPr>
          <w:rFonts w:ascii="Arial" w:hAnsi="Arial"/>
          <w:sz w:val="19"/>
        </w:rPr>
        <w:t>8.5 Personal data is not transferred outside the United Kingdom unless the destination is covered by UK adequacy regulations, or the transfer is protected by the International Data Transfer Agreement or the UK Addendum to the EU Standard Contractual Clauses, supported by a documented Transfer Risk Assessment. All international transfers are recorded in the International Transfer Register.</w:t>
      </w:r>
    </w:p>
    <w:p>
      <w:pPr>
        <w:pStyle w:val="Heading1"/>
        <w:keepNext/>
        <w:spacing w:before="200" w:after="80"/>
      </w:pPr>
      <w:r>
        <w:rPr>
          <w:rFonts w:ascii="Arial" w:hAnsi="Arial"/>
          <w:b/>
          <w:color w:val="C00000"/>
          <w:sz w:val="28"/>
        </w:rPr>
        <w:t>9. Data Protection by Design, DPIAs and Records</w:t>
      </w:r>
    </w:p>
    <w:p>
      <w:pPr>
        <w:spacing w:after="100" w:line="252" w:lineRule="auto"/>
      </w:pPr>
      <w:r>
        <w:rPr>
          <w:rFonts w:ascii="Arial" w:hAnsi="Arial"/>
          <w:sz w:val="19"/>
        </w:rPr>
        <w:t>9.1 The school applies data protection by design and by default (Article 25). Privacy considerations are built into new projects, systems and procedures from the outset rather than added afterwards.</w:t>
      </w:r>
    </w:p>
    <w:p>
      <w:pPr>
        <w:spacing w:after="100" w:line="252" w:lineRule="auto"/>
      </w:pPr>
      <w:r>
        <w:rPr>
          <w:rFonts w:ascii="Arial" w:hAnsi="Arial"/>
          <w:sz w:val="19"/>
        </w:rPr>
        <w:t>9.2 A DPIA is completed before processing begins wherever processing is likely to result in a high risk to individuals, and always for: new EdTech or cloud platforms handling pupil data; CCTV, body-worn cameras or any surveillance; biometric systems; monitoring or filtering software; large-scale processing of special category or children's data; use of artificial intelligence; and any new data sharing arrangement involving vulnerable individuals.</w:t>
      </w:r>
    </w:p>
    <w:p>
      <w:pPr>
        <w:spacing w:after="100" w:line="252" w:lineRule="auto"/>
      </w:pPr>
      <w:r>
        <w:rPr>
          <w:rFonts w:ascii="Arial" w:hAnsi="Arial"/>
          <w:sz w:val="19"/>
        </w:rPr>
        <w:t>9.3 DPIAs are completed by the project lead with advice from the DPO, and are signed off by the SIRO. Where a high residual risk cannot be mitigated, the school consults the ICO before proceeding.</w:t>
      </w:r>
    </w:p>
    <w:p>
      <w:pPr>
        <w:spacing w:after="100" w:line="252" w:lineRule="auto"/>
      </w:pPr>
      <w:r>
        <w:rPr>
          <w:rFonts w:ascii="Arial" w:hAnsi="Arial"/>
          <w:sz w:val="19"/>
        </w:rPr>
        <w:t>9.4 The school maintains a Record of Processing Activities under Article 30, an Information Asset Register, a Supplier Register and an International Transfer Register. These are reviewed at least annually and updated whenever processing changes.</w:t>
      </w:r>
    </w:p>
    <w:p>
      <w:pPr>
        <w:pStyle w:val="Heading1"/>
        <w:keepNext/>
        <w:spacing w:before="200" w:after="80"/>
      </w:pPr>
      <w:r>
        <w:rPr>
          <w:rFonts w:ascii="Arial" w:hAnsi="Arial"/>
          <w:b/>
          <w:color w:val="C00000"/>
          <w:sz w:val="28"/>
        </w:rPr>
        <w:t>10. Security of Personal Data</w:t>
      </w:r>
    </w:p>
    <w:p>
      <w:pPr>
        <w:spacing w:after="100" w:line="252" w:lineRule="auto"/>
      </w:pPr>
      <w:r>
        <w:rPr>
          <w:rFonts w:ascii="Arial" w:hAnsi="Arial"/>
          <w:sz w:val="19"/>
        </w:rPr>
        <w:t>10.1 The school implements appropriate technical and organisational measures under Article 32, detailed in the Information Security Policy. These include: role-based access control with least privilege; multi-factor authentication on all cloud and remote access; full-disk encryption on all laptops, tablets and phones; encryption of personal data in transit; a prohibition on unencrypted removable media; managed patching and endpoint protection; logging and monitoring of access to pupil and staff records; secure disposal of paper by cross-cut shredding or a certificated confidential waste contractor; and certificated data-wiping of end-of-life equipment.</w:t>
      </w:r>
    </w:p>
    <w:p>
      <w:pPr>
        <w:spacing w:after="100" w:line="252" w:lineRule="auto"/>
      </w:pPr>
      <w:r>
        <w:rPr>
          <w:rFonts w:ascii="Arial" w:hAnsi="Arial"/>
          <w:sz w:val="19"/>
        </w:rPr>
        <w:t>10.2 Personal data is stored only in school-approved systems. Staff must not store personal data in personal cloud accounts, personal email or unmanaged local folders.</w:t>
      </w:r>
    </w:p>
    <w:p>
      <w:pPr>
        <w:spacing w:after="100" w:line="252" w:lineRule="auto"/>
      </w:pPr>
      <w:r>
        <w:rPr>
          <w:rFonts w:ascii="Arial" w:hAnsi="Arial"/>
          <w:sz w:val="19"/>
        </w:rPr>
        <w:t>10.3 Physical measures include locked cabinets for paper records containing special category data, a clear desk and clear screen rule, controlled access to the school office and server room, and visitor signing-in and escorting.</w:t>
      </w:r>
    </w:p>
    <w:p>
      <w:pPr>
        <w:spacing w:after="100" w:line="252" w:lineRule="auto"/>
      </w:pPr>
      <w:r>
        <w:rPr>
          <w:rFonts w:ascii="Arial" w:hAnsi="Arial"/>
          <w:sz w:val="19"/>
        </w:rPr>
        <w:t>10.4 Backups are taken daily, held with at least one immutable or offline copy, and restore tests are carried out at least annually as part of business continuity planning.</w:t>
      </w:r>
    </w:p>
    <w:p>
      <w:pPr>
        <w:spacing w:after="100" w:line="252" w:lineRule="auto"/>
      </w:pPr>
      <w:r>
        <w:rPr>
          <w:rFonts w:ascii="Arial" w:hAnsi="Arial"/>
          <w:sz w:val="19"/>
        </w:rPr>
        <w:t>10.5 Staff working remotely or off-site must follow the Remote Working Policy, use only school-issued or approved devices, avoid working on personal data in public places where screens may be overlooked, and never leave equipment or paperwork in an unattended vehicle.</w:t>
      </w:r>
    </w:p>
    <w:p>
      <w:pPr>
        <w:pStyle w:val="Heading1"/>
        <w:keepNext/>
        <w:spacing w:before="200" w:after="80"/>
      </w:pPr>
      <w:r>
        <w:rPr>
          <w:rFonts w:ascii="Arial" w:hAnsi="Arial"/>
          <w:b/>
          <w:color w:val="C00000"/>
          <w:sz w:val="28"/>
        </w:rPr>
        <w:t>11. Personal Data Breaches</w:t>
      </w:r>
    </w:p>
    <w:p>
      <w:pPr>
        <w:spacing w:after="100" w:line="252" w:lineRule="auto"/>
      </w:pPr>
      <w:r>
        <w:rPr>
          <w:rFonts w:ascii="Arial" w:hAnsi="Arial"/>
          <w:sz w:val="19"/>
        </w:rPr>
        <w:t>11.1 Any actual or suspected personal data breach must be reported immediately, and in any event within one hour of discovery, to dpo@satswana.com and to the Headteacher, following the Data Breach Response Plan. Reportable examples include a misdirected email, a lost device or file, a ransomware infection, unauthorised access to the MIS, information left visible in a public area, and pupil data shared with the wrong parent.</w:t>
      </w:r>
    </w:p>
    <w:p>
      <w:pPr>
        <w:spacing w:after="100" w:line="252" w:lineRule="auto"/>
      </w:pPr>
      <w:r>
        <w:rPr>
          <w:rFonts w:ascii="Arial" w:hAnsi="Arial"/>
          <w:sz w:val="19"/>
        </w:rPr>
        <w:t>11.2 Staff must not attempt to resolve or conceal a breach before reporting it. Prompt reporting is treated as the expected professional behaviour and will not of itself result in disciplinary action.</w:t>
      </w:r>
    </w:p>
    <w:p>
      <w:pPr>
        <w:spacing w:after="100" w:line="252" w:lineRule="auto"/>
      </w:pPr>
      <w:r>
        <w:rPr>
          <w:rFonts w:ascii="Arial" w:hAnsi="Arial"/>
          <w:sz w:val="19"/>
        </w:rPr>
        <w:t>11.3 The DPO assesses the risk to individuals and advises the SIRO. Where the breach is likely to result in a risk to individuals' rights and freedoms, the school notifies the ICO within 72 hours of becoming aware. Where the risk is high, affected individuals are informed without undue delay in clear, plain language, together with the steps they can take to protect themselves.</w:t>
      </w:r>
    </w:p>
    <w:p>
      <w:pPr>
        <w:spacing w:after="100" w:line="252" w:lineRule="auto"/>
      </w:pPr>
      <w:r>
        <w:rPr>
          <w:rFonts w:ascii="Arial" w:hAnsi="Arial"/>
          <w:sz w:val="19"/>
        </w:rPr>
        <w:t>11.4 All breaches and near misses, whether reportable or not, are recorded in the Data Breach Log with the facts, effects and remedial action, as required by Article 33(5). The log is reviewed termly to identify trends and training needs.</w:t>
      </w:r>
    </w:p>
    <w:p>
      <w:pPr>
        <w:pStyle w:val="Heading1"/>
        <w:keepNext/>
        <w:spacing w:before="200" w:after="80"/>
      </w:pPr>
      <w:r>
        <w:rPr>
          <w:rFonts w:ascii="Arial" w:hAnsi="Arial"/>
          <w:b/>
          <w:color w:val="C00000"/>
          <w:sz w:val="28"/>
        </w:rPr>
        <w:t>12. Retention and Disposal</w:t>
      </w:r>
    </w:p>
    <w:p>
      <w:pPr>
        <w:spacing w:after="100" w:line="252" w:lineRule="auto"/>
      </w:pPr>
      <w:r>
        <w:rPr>
          <w:rFonts w:ascii="Arial" w:hAnsi="Arial"/>
          <w:sz w:val="19"/>
        </w:rPr>
        <w:t>12.1 Personal data is retained in accordance with the school's Retention Schedule, which is based on the Information and Records Management Society (IRMS) Records Management Toolkit for Schools and applicable statutory requirements.</w:t>
      </w:r>
    </w:p>
    <w:p>
      <w:pPr>
        <w:spacing w:after="100" w:line="252" w:lineRule="auto"/>
      </w:pPr>
      <w:r>
        <w:rPr>
          <w:rFonts w:ascii="Arial" w:hAnsi="Arial"/>
          <w:sz w:val="19"/>
        </w:rPr>
        <w:t>12.2 Records are disposed of securely at the end of the retention period, and the disposal is recorded in the Records Disposal Log. Records subject to a legal hold, an ongoing investigation, an IICSA-type inquiry or an active complaint are not destroyed until the hold is formally lifted by the DPO.</w:t>
      </w:r>
    </w:p>
    <w:p>
      <w:pPr>
        <w:spacing w:after="100" w:line="252" w:lineRule="auto"/>
      </w:pPr>
      <w:r>
        <w:rPr>
          <w:rFonts w:ascii="Arial" w:hAnsi="Arial"/>
          <w:sz w:val="19"/>
        </w:rPr>
        <w:t>12.3 The school does not keep personal data "just in case". Where data must be kept for statistical or planning purposes, it is anonymised so that individuals can no longer be identified, at which point it ceases to be personal data.</w:t>
      </w:r>
    </w:p>
    <w:p>
      <w:pPr>
        <w:pStyle w:val="Heading1"/>
        <w:keepNext/>
        <w:spacing w:before="200" w:after="80"/>
      </w:pPr>
      <w:r>
        <w:rPr>
          <w:rFonts w:ascii="Arial" w:hAnsi="Arial"/>
          <w:b/>
          <w:color w:val="C00000"/>
          <w:sz w:val="28"/>
        </w:rPr>
        <w:t>13. Photographs, Images and Publicity</w:t>
      </w:r>
    </w:p>
    <w:p>
      <w:pPr>
        <w:spacing w:after="100" w:line="252" w:lineRule="auto"/>
      </w:pPr>
      <w:r>
        <w:rPr>
          <w:rFonts w:ascii="Arial" w:hAnsi="Arial"/>
          <w:sz w:val="19"/>
        </w:rPr>
        <w:t>13.1 Photographs and video of pupils used for publicity, the school website, social media, prospectuses or the press are taken and used only with recorded consent, obtained from the parent or from the pupil where they are competent to decide.</w:t>
      </w:r>
    </w:p>
    <w:p>
      <w:pPr>
        <w:spacing w:after="100" w:line="252" w:lineRule="auto"/>
      </w:pPr>
      <w:r>
        <w:rPr>
          <w:rFonts w:ascii="Arial" w:hAnsi="Arial"/>
          <w:sz w:val="19"/>
        </w:rPr>
        <w:t>13.2 Consent preferences are recorded in the Pupil Image Use Register, are checked before any publication, and can be withdrawn at any time; the school will remove images from its own platforms on request, while explaining that it cannot recall printed materials already distributed.</w:t>
      </w:r>
    </w:p>
    <w:p>
      <w:pPr>
        <w:spacing w:after="100" w:line="252" w:lineRule="auto"/>
      </w:pPr>
      <w:r>
        <w:rPr>
          <w:rFonts w:ascii="Arial" w:hAnsi="Arial"/>
          <w:sz w:val="19"/>
        </w:rPr>
        <w:t>13.3 Pupils' full names are not published alongside photographs without specific consent. Images of pupils are not stored on personal devices or personal social media accounts.</w:t>
      </w:r>
    </w:p>
    <w:p>
      <w:pPr>
        <w:spacing w:after="100" w:line="252" w:lineRule="auto"/>
      </w:pPr>
      <w:r>
        <w:rPr>
          <w:rFonts w:ascii="Arial" w:hAnsi="Arial"/>
          <w:sz w:val="19"/>
        </w:rPr>
        <w:t>13.4 Photography by parents at school events is permitted for personal and family use only. A notice to that effect is displayed at events, and parents are asked not to publish images containing other children on social media.</w:t>
      </w:r>
    </w:p>
    <w:p>
      <w:pPr>
        <w:pStyle w:val="Heading1"/>
        <w:keepNext/>
        <w:spacing w:before="200" w:after="80"/>
      </w:pPr>
      <w:r>
        <w:rPr>
          <w:rFonts w:ascii="Arial" w:hAnsi="Arial"/>
          <w:b/>
          <w:color w:val="C00000"/>
          <w:sz w:val="28"/>
        </w:rPr>
        <w:t>14. Training and Awareness</w:t>
      </w:r>
    </w:p>
    <w:p>
      <w:pPr>
        <w:spacing w:after="100" w:line="252" w:lineRule="auto"/>
      </w:pPr>
      <w:r>
        <w:rPr>
          <w:rFonts w:ascii="Arial" w:hAnsi="Arial"/>
          <w:sz w:val="19"/>
        </w:rPr>
        <w:t>14.1 All new staff, governors and volunteers complete data protection and information security training as part of induction, before being granted access to personal data.</w:t>
      </w:r>
    </w:p>
    <w:p>
      <w:pPr>
        <w:spacing w:after="100" w:line="252" w:lineRule="auto"/>
      </w:pPr>
      <w:r>
        <w:rPr>
          <w:rFonts w:ascii="Arial" w:hAnsi="Arial"/>
          <w:sz w:val="19"/>
        </w:rPr>
        <w:t>14.2 All staff complete refresher training at least annually. Role-specific training is provided for staff handling higher-risk data: the safeguarding team, SENCO and SEND staff, HR and finance, admissions and office staff, exams officers and IT staff.</w:t>
      </w:r>
    </w:p>
    <w:p>
      <w:pPr>
        <w:spacing w:after="100" w:line="252" w:lineRule="auto"/>
      </w:pPr>
      <w:r>
        <w:rPr>
          <w:rFonts w:ascii="Arial" w:hAnsi="Arial"/>
          <w:sz w:val="19"/>
        </w:rPr>
        <w:t>14.3 Governors receive a data protection briefing at least once per academic year covering their accountability, breach reporting and the DPO's report.</w:t>
      </w:r>
    </w:p>
    <w:p>
      <w:pPr>
        <w:spacing w:after="100" w:line="252" w:lineRule="auto"/>
      </w:pPr>
      <w:r>
        <w:rPr>
          <w:rFonts w:ascii="Arial" w:hAnsi="Arial"/>
          <w:sz w:val="19"/>
        </w:rPr>
        <w:t>14.4 Training completion is recorded on the school's training register and reported to the Governing Body. Data protection awareness is reinforced through briefings, staff bulletins and simulated phishing exercises.</w:t>
      </w:r>
    </w:p>
    <w:p>
      <w:pPr>
        <w:pStyle w:val="Heading1"/>
        <w:keepNext/>
        <w:spacing w:before="200" w:after="80"/>
      </w:pPr>
      <w:r>
        <w:rPr>
          <w:rFonts w:ascii="Arial" w:hAnsi="Arial"/>
          <w:b/>
          <w:color w:val="C00000"/>
          <w:sz w:val="28"/>
        </w:rPr>
        <w:t>15. Complaints and Monitoring</w:t>
      </w:r>
    </w:p>
    <w:p>
      <w:pPr>
        <w:spacing w:after="100" w:line="252" w:lineRule="auto"/>
      </w:pPr>
      <w:r>
        <w:rPr>
          <w:rFonts w:ascii="Arial" w:hAnsi="Arial"/>
          <w:sz w:val="19"/>
        </w:rPr>
        <w:t>15.1 Any individual who is concerned about the school's handling of personal data should contact dpo@satswana.com or write to the Headteacher at The Fairway, Mill Hill, London, NW7 3HS. The school will acknowledge within five working days and respond substantively within 20 working days.</w:t>
      </w:r>
    </w:p>
    <w:p>
      <w:pPr>
        <w:spacing w:after="100" w:line="252" w:lineRule="auto"/>
      </w:pPr>
      <w:r>
        <w:rPr>
          <w:rFonts w:ascii="Arial" w:hAnsi="Arial"/>
          <w:sz w:val="19"/>
        </w:rPr>
        <w:t>15.2 If the individual remains dissatisfied, they may complain to the Information Commissioner's Office, Wycliffe House, Water Lane, Wilmslow, Cheshire SK9 5AF, ico.org.uk/make-a-complaint, telephone 0303 123 1113. Individuals also have a right to seek a judicial remedy and to claim compensation for material or non-material damage.</w:t>
      </w:r>
    </w:p>
    <w:p>
      <w:pPr>
        <w:spacing w:after="100" w:line="252" w:lineRule="auto"/>
      </w:pPr>
      <w:r>
        <w:rPr>
          <w:rFonts w:ascii="Arial" w:hAnsi="Arial"/>
          <w:sz w:val="19"/>
        </w:rPr>
        <w:t>15.3 Compliance with this Policy is monitored by the DPO through the annual compliance audit, spot checks on access logs and record-keeping, review of the breach log, and an annual written report to the Governing Body.</w:t>
      </w:r>
    </w:p>
    <w:p>
      <w:pPr>
        <w:pStyle w:val="Heading1"/>
        <w:keepNext/>
        <w:spacing w:before="200" w:after="80"/>
      </w:pPr>
      <w:r>
        <w:rPr>
          <w:rFonts w:ascii="Arial" w:hAnsi="Arial"/>
          <w:b/>
          <w:color w:val="C00000"/>
          <w:sz w:val="28"/>
        </w:rPr>
        <w:t>Failure to Comply</w:t>
      </w:r>
    </w:p>
    <w:p>
      <w:pPr>
        <w:spacing w:after="100" w:line="252" w:lineRule="auto"/>
      </w:pPr>
      <w:r>
        <w:rPr>
          <w:rFonts w:ascii="Arial" w:hAnsi="Arial"/>
          <w:sz w:val="19"/>
        </w:rPr>
        <w:t>Deliberate or negligent failure to comply with this document may be treated as a disciplinary matter under the Northway School disciplinary procedure and, in serious cases, may amount to gross misconduct. Unlawful obtaining, disclosure or retention of personal data is a criminal offence under sections 170 and 171 of the Data Protection Act 2018 and may be reported to the Information Commissioner and/or the police. Contractors and volunteers who breach this document may have their engagement terminated.</w:t>
      </w:r>
    </w:p>
    <w:p>
      <w:pPr>
        <w:pStyle w:val="Heading1"/>
      </w:pPr>
      <w:r>
        <w:rPr>
          <w:b/>
          <w:color w:val="C00000"/>
          <w:sz w:val="28"/>
        </w:rPr>
        <w:t>Document Control</w:t>
      </w:r>
    </w:p>
    <w:tbl>
      <w:tblPr>
        <w:tblStyle w:val="TableGrid"/>
        <w:tblW w:type="auto" w:w="0"/>
        <w:jc w:val="center"/>
        <w:tblLook w:firstColumn="1" w:firstRow="1" w:lastColumn="0" w:lastRow="0" w:noHBand="0" w:noVBand="1" w:val="04A0"/>
      </w:tblPr>
      <w:tblGrid>
        <w:gridCol w:w="5040"/>
        <w:gridCol w:w="5040"/>
      </w:tblGrid>
      <w:tr>
        <w:tc>
          <w:tcPr>
            <w:tcW w:type="dxa" w:w="5040"/>
            <w:vAlign w:val="center"/>
          </w:tcPr>
          <w:p>
            <w:r>
              <w:rPr>
                <w:rFonts w:ascii="Arial" w:hAnsi="Arial"/>
                <w:b/>
                <w:sz w:val="17"/>
              </w:rPr>
              <w:t>Document title</w:t>
            </w:r>
          </w:p>
        </w:tc>
        <w:tc>
          <w:tcPr>
            <w:tcW w:type="dxa" w:w="5040"/>
            <w:vAlign w:val="center"/>
          </w:tcPr>
          <w:p>
            <w:r>
              <w:rPr>
                <w:rFonts w:ascii="Arial" w:hAnsi="Arial"/>
                <w:sz w:val="17"/>
              </w:rPr>
              <w:t>Data Protection Policy</w:t>
            </w:r>
          </w:p>
        </w:tc>
      </w:tr>
      <w:tr>
        <w:tc>
          <w:tcPr>
            <w:tcW w:type="dxa" w:w="5040"/>
            <w:vAlign w:val="center"/>
          </w:tcPr>
          <w:p>
            <w:r>
              <w:rPr>
                <w:rFonts w:ascii="Arial" w:hAnsi="Arial"/>
                <w:b/>
                <w:sz w:val="17"/>
              </w:rPr>
              <w:t>Organisation</w:t>
            </w:r>
          </w:p>
        </w:tc>
        <w:tc>
          <w:tcPr>
            <w:tcW w:type="dxa" w:w="5040"/>
            <w:vAlign w:val="center"/>
          </w:tcPr>
          <w:p>
            <w:r>
              <w:rPr>
                <w:rFonts w:ascii="Arial" w:hAnsi="Arial"/>
                <w:sz w:val="17"/>
              </w:rPr>
              <w:t>Northway School</w:t>
            </w:r>
          </w:p>
        </w:tc>
      </w:tr>
      <w:tr>
        <w:tc>
          <w:tcPr>
            <w:tcW w:type="dxa" w:w="5040"/>
            <w:vAlign w:val="center"/>
          </w:tcPr>
          <w:p>
            <w:r>
              <w:rPr>
                <w:rFonts w:ascii="Arial" w:hAnsi="Arial"/>
                <w:b/>
                <w:sz w:val="17"/>
              </w:rPr>
              <w:t>Address</w:t>
            </w:r>
          </w:p>
        </w:tc>
        <w:tc>
          <w:tcPr>
            <w:tcW w:type="dxa" w:w="5040"/>
            <w:vAlign w:val="center"/>
          </w:tcPr>
          <w:p>
            <w:r>
              <w:rPr>
                <w:rFonts w:ascii="Arial" w:hAnsi="Arial"/>
                <w:sz w:val="17"/>
              </w:rPr>
              <w:t>The Fairway, Mill Hill, London, NW7 3HS</w:t>
            </w:r>
          </w:p>
        </w:tc>
      </w:tr>
      <w:tr>
        <w:tc>
          <w:tcPr>
            <w:tcW w:type="dxa" w:w="5040"/>
            <w:vAlign w:val="center"/>
          </w:tcPr>
          <w:p>
            <w:r>
              <w:rPr>
                <w:rFonts w:ascii="Arial" w:hAnsi="Arial"/>
                <w:b/>
                <w:sz w:val="17"/>
              </w:rPr>
              <w:t>Version</w:t>
            </w:r>
          </w:p>
        </w:tc>
        <w:tc>
          <w:tcPr>
            <w:tcW w:type="dxa" w:w="5040"/>
            <w:vAlign w:val="center"/>
          </w:tcPr>
          <w:p>
            <w:r>
              <w:rPr>
                <w:rFonts w:ascii="Arial" w:hAnsi="Arial"/>
                <w:sz w:val="17"/>
              </w:rPr>
              <w:t>1.0</w:t>
            </w:r>
          </w:p>
        </w:tc>
      </w:tr>
      <w:tr>
        <w:tc>
          <w:tcPr>
            <w:tcW w:type="dxa" w:w="5040"/>
            <w:vAlign w:val="center"/>
          </w:tcPr>
          <w:p>
            <w:r>
              <w:rPr>
                <w:rFonts w:ascii="Arial" w:hAnsi="Arial"/>
                <w:b/>
                <w:sz w:val="17"/>
              </w:rPr>
              <w:t>Issued</w:t>
            </w:r>
          </w:p>
        </w:tc>
        <w:tc>
          <w:tcPr>
            <w:tcW w:type="dxa" w:w="5040"/>
            <w:vAlign w:val="center"/>
          </w:tcPr>
          <w:p>
            <w:r>
              <w:rPr>
                <w:rFonts w:ascii="Arial" w:hAnsi="Arial"/>
                <w:sz w:val="17"/>
              </w:rPr>
              <w:t>September 2026</w:t>
            </w:r>
          </w:p>
        </w:tc>
      </w:tr>
      <w:tr>
        <w:tc>
          <w:tcPr>
            <w:tcW w:type="dxa" w:w="5040"/>
            <w:vAlign w:val="center"/>
          </w:tcPr>
          <w:p>
            <w:r>
              <w:rPr>
                <w:rFonts w:ascii="Arial" w:hAnsi="Arial"/>
                <w:b/>
                <w:sz w:val="17"/>
              </w:rPr>
              <w:t>Next review due</w:t>
            </w:r>
          </w:p>
        </w:tc>
        <w:tc>
          <w:tcPr>
            <w:tcW w:type="dxa" w:w="5040"/>
            <w:vAlign w:val="center"/>
          </w:tcPr>
          <w:p>
            <w:r>
              <w:rPr>
                <w:rFonts w:ascii="Arial" w:hAnsi="Arial"/>
                <w:sz w:val="17"/>
              </w:rPr>
              <w:t>September 2027</w:t>
            </w:r>
          </w:p>
        </w:tc>
      </w:tr>
      <w:tr>
        <w:tc>
          <w:tcPr>
            <w:tcW w:type="dxa" w:w="5040"/>
            <w:vAlign w:val="center"/>
          </w:tcPr>
          <w:p>
            <w:r>
              <w:rPr>
                <w:rFonts w:ascii="Arial" w:hAnsi="Arial"/>
                <w:b/>
                <w:sz w:val="17"/>
              </w:rPr>
              <w:t>Document owner</w:t>
            </w:r>
          </w:p>
        </w:tc>
        <w:tc>
          <w:tcPr>
            <w:tcW w:type="dxa" w:w="5040"/>
            <w:vAlign w:val="center"/>
          </w:tcPr>
          <w:p>
            <w:r>
              <w:rPr>
                <w:rFonts w:ascii="Arial" w:hAnsi="Arial"/>
                <w:sz w:val="17"/>
              </w:rPr>
              <w:t>Data Protection Officer - Satswana Ltd (outsourced Data Protection Officer) - dpo@satswana.com</w:t>
            </w:r>
          </w:p>
        </w:tc>
      </w:tr>
      <w:tr>
        <w:tc>
          <w:tcPr>
            <w:tcW w:type="dxa" w:w="5040"/>
            <w:vAlign w:val="center"/>
          </w:tcPr>
          <w:p>
            <w:r>
              <w:rPr>
                <w:rFonts w:ascii="Arial" w:hAnsi="Arial"/>
                <w:b/>
                <w:sz w:val="17"/>
              </w:rPr>
              <w:t>Senior Information Risk Owner</w:t>
            </w:r>
          </w:p>
        </w:tc>
        <w:tc>
          <w:tcPr>
            <w:tcW w:type="dxa" w:w="5040"/>
            <w:vAlign w:val="center"/>
          </w:tcPr>
          <w:p>
            <w:r>
              <w:rPr>
                <w:rFonts w:ascii="Arial" w:hAnsi="Arial"/>
                <w:sz w:val="17"/>
              </w:rPr>
              <w:t>Danielle Barker, Headteacher</w:t>
            </w:r>
          </w:p>
        </w:tc>
      </w:tr>
      <w:tr>
        <w:tc>
          <w:tcPr>
            <w:tcW w:type="dxa" w:w="5040"/>
            <w:vAlign w:val="center"/>
          </w:tcPr>
          <w:p>
            <w:r>
              <w:rPr>
                <w:rFonts w:ascii="Arial" w:hAnsi="Arial"/>
                <w:b/>
                <w:sz w:val="17"/>
              </w:rPr>
              <w:t>ICO registration</w:t>
            </w:r>
          </w:p>
        </w:tc>
        <w:tc>
          <w:tcPr>
            <w:tcW w:type="dxa" w:w="5040"/>
            <w:vAlign w:val="center"/>
          </w:tcPr>
          <w:p>
            <w:r>
              <w:rPr>
                <w:rFonts w:ascii="Arial" w:hAnsi="Arial"/>
                <w:sz w:val="17"/>
              </w:rPr>
              <w:t>Z5034661</w:t>
            </w:r>
          </w:p>
        </w:tc>
      </w:tr>
      <w:tr>
        <w:tc>
          <w:tcPr>
            <w:tcW w:type="dxa" w:w="5040"/>
            <w:vAlign w:val="center"/>
          </w:tcPr>
          <w:p>
            <w:r>
              <w:rPr>
                <w:rFonts w:ascii="Arial" w:hAnsi="Arial"/>
                <w:b/>
                <w:sz w:val="17"/>
              </w:rPr>
              <w:t>Approved by</w:t>
            </w:r>
          </w:p>
        </w:tc>
        <w:tc>
          <w:tcPr>
            <w:tcW w:type="dxa" w:w="5040"/>
            <w:vAlign w:val="center"/>
          </w:tcPr>
          <w:p>
            <w:r>
              <w:rPr>
                <w:rFonts w:ascii="Arial" w:hAnsi="Arial"/>
                <w:sz w:val="17"/>
              </w:rPr>
              <w:t>Governing Body of Northway School</w:t>
            </w:r>
          </w:p>
        </w:tc>
      </w:tr>
      <w:tr>
        <w:tc>
          <w:tcPr>
            <w:tcW w:type="dxa" w:w="5040"/>
            <w:vAlign w:val="center"/>
          </w:tcPr>
          <w:p>
            <w:r>
              <w:rPr>
                <w:rFonts w:ascii="Arial" w:hAnsi="Arial"/>
                <w:b/>
                <w:sz w:val="17"/>
              </w:rPr>
              <w:t>Date of approval</w:t>
            </w:r>
          </w:p>
        </w:tc>
        <w:tc>
          <w:tcPr>
            <w:tcW w:type="dxa" w:w="5040"/>
            <w:vAlign w:val="center"/>
          </w:tcPr>
          <w:p>
            <w:r>
              <w:rPr>
                <w:rFonts w:ascii="Arial" w:hAnsi="Arial"/>
                <w:sz w:val="17"/>
                <w:highlight w:val="yellow"/>
              </w:rPr>
              <w:t>[TO COMPLETE FOLLOWING GOVERNOR APPROVAL]</w:t>
            </w:r>
          </w:p>
        </w:tc>
      </w:tr>
      <w:tr>
        <w:tc>
          <w:tcPr>
            <w:tcW w:type="dxa" w:w="5040"/>
            <w:vAlign w:val="center"/>
          </w:tcPr>
          <w:p>
            <w:r>
              <w:rPr>
                <w:rFonts w:ascii="Arial" w:hAnsi="Arial"/>
                <w:b/>
                <w:sz w:val="17"/>
              </w:rPr>
              <w:t>Review cycle</w:t>
            </w:r>
          </w:p>
        </w:tc>
        <w:tc>
          <w:tcPr>
            <w:tcW w:type="dxa" w:w="5040"/>
            <w:vAlign w:val="center"/>
          </w:tcPr>
          <w:p>
            <w:r>
              <w:rPr>
                <w:rFonts w:ascii="Arial" w:hAnsi="Arial"/>
                <w:sz w:val="17"/>
              </w:rPr>
              <w:t>Annual, or sooner following material legal, guidance or operational change</w:t>
            </w:r>
          </w:p>
        </w:tc>
      </w:tr>
      <w:tr>
        <w:tc>
          <w:tcPr>
            <w:tcW w:type="dxa" w:w="5040"/>
            <w:vAlign w:val="center"/>
          </w:tcPr>
          <w:p>
            <w:r>
              <w:rPr>
                <w:rFonts w:ascii="Arial" w:hAnsi="Arial"/>
                <w:b/>
                <w:sz w:val="17"/>
              </w:rPr>
              <w:t>Classification</w:t>
            </w:r>
          </w:p>
        </w:tc>
        <w:tc>
          <w:tcPr>
            <w:tcW w:type="dxa" w:w="5040"/>
            <w:vAlign w:val="center"/>
          </w:tcPr>
          <w:p>
            <w:r>
              <w:rPr>
                <w:rFonts w:ascii="Arial" w:hAnsi="Arial"/>
                <w:sz w:val="17"/>
              </w:rPr>
              <w:t>Official - internal use and publication as directed</w:t>
            </w:r>
          </w:p>
        </w:tc>
      </w:tr>
    </w:tbl>
    <w:sectPr w:rsidR="00FC693F" w:rsidRPr="0006063C" w:rsidSect="00034616">
      <w:footerReference w:type="default" r:id="rId10"/>
      <w:headerReference w:type="default" r:id="rId11"/>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sz w:val="16"/>
      </w:rPr>
      <w:t>Northway School | Data Protection Policy | September 2026</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pPr>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rPr>
      <w:rFonts w:ascii="Century Gothic" w:hAnsi="Century Gothic"/>
    </w:rPr>
  </w:style>
  <w:style w:type="character" w:customStyle="1" w:styleId="HeaderChar">
    <w:name w:val="Header Char"/>
    <w:basedOn w:val="DefaultParagraphFont"/>
    <w:link w:val="Header"/>
    <w:uiPriority w:val="99"/>
    <w:rsid w:val="00E618BF"/>
    <w:rPr>
      <w:rFonts w:ascii="Century Gothic" w:hAnsi="Century Gothic"/>
    </w:rPr>
  </w:style>
  <w:style w:type="paragraph" w:styleId="Footer">
    <w:name w:val="footer"/>
    <w:basedOn w:val="Normal"/>
    <w:link w:val="FooterChar"/>
    <w:uiPriority w:val="99"/>
    <w:unhideWhenUsed/>
    <w:rsid w:val="00E618BF"/>
    <w:pPr>
      <w:tabs>
        <w:tab w:val="center" w:pos="4680"/>
        <w:tab w:val="right" w:pos="9360"/>
      </w:tabs>
      <w:spacing w:after="0" w:line="240" w:lineRule="auto"/>
    </w:pPr>
    <w:rPr>
      <w:rFonts w:ascii="Century Gothic" w:hAnsi="Century Gothic"/>
    </w:rPr>
  </w:style>
  <w:style w:type="character" w:customStyle="1" w:styleId="FooterChar">
    <w:name w:val="Footer Char"/>
    <w:basedOn w:val="DefaultParagraphFont"/>
    <w:link w:val="Footer"/>
    <w:uiPriority w:val="99"/>
    <w:rsid w:val="00E618BF"/>
    <w:rPr>
      <w:rFonts w:ascii="Century Gothic" w:hAnsi="Century Gothic"/>
    </w:rPr>
  </w:style>
  <w:style w:type="paragraph" w:styleId="Heading1">
    <w:name w:val="heading 1"/>
    <w:basedOn w:val="Normal"/>
    <w:next w:val="Normal"/>
    <w:link w:val="Heading1Char"/>
    <w:uiPriority w:val="9"/>
    <w:qFormat/>
    <w:rsid w:val="00FC693F"/>
    <w:pPr>
      <w:keepNext/>
      <w:keepLines/>
      <w:spacing w:before="160" w:after="60"/>
      <w:outlineLvl w:val="0"/>
    </w:pPr>
    <w:rPr>
      <w:rFonts w:asciiTheme="majorHAnsi" w:eastAsiaTheme="majorEastAsia" w:hAnsiTheme="majorHAnsi" w:cstheme="majorBidi" w:ascii="Arial" w:hAnsi="Arial"/>
      <w:b/>
      <w:bCs/>
      <w:color w:val="C00000"/>
      <w:sz w:val="28"/>
      <w:szCs w:val="28"/>
    </w:rPr>
  </w:style>
  <w:style w:type="paragraph" w:styleId="Heading2">
    <w:name w:val="heading 2"/>
    <w:basedOn w:val="Normal"/>
    <w:next w:val="Normal"/>
    <w:link w:val="Heading2Char"/>
    <w:uiPriority w:val="9"/>
    <w:unhideWhenUsed/>
    <w:qFormat/>
    <w:rsid w:val="00FC693F"/>
    <w:pPr>
      <w:keepNext/>
      <w:keepLines/>
      <w:spacing w:before="160" w:after="60"/>
      <w:outlineLvl w:val="1"/>
    </w:pPr>
    <w:rPr>
      <w:rFonts w:asciiTheme="majorHAnsi" w:eastAsiaTheme="majorEastAsia" w:hAnsiTheme="majorHAnsi" w:cstheme="majorBidi" w:ascii="Arial" w:hAnsi="Arial"/>
      <w:b/>
      <w:bCs/>
      <w:color w:val="C8102E"/>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Century Gothic" w:hAnsi="Century Gothic"/>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ascii="Century Gothic" w:hAnsi="Century Gothic"/>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ascii="Century Gothic" w:hAnsi="Century Gothic"/>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ascii="Century Gothic" w:hAnsi="Century Gothic"/>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ascii="Century Gothic" w:hAnsi="Century Gothic"/>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ascii="Century Gothic" w:hAnsi="Century Gothic"/>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ascii="Century Gothic" w:hAnsi="Century Gothic"/>
      <w:i/>
      <w:iCs/>
      <w:color w:val="404040" w:themeColor="text1" w:themeTint="BF"/>
      <w:sz w:val="20"/>
      <w:szCs w:val="20"/>
    </w:rPr>
  </w:style>
  <w:style w:type="character" w:default="1" w:styleId="DefaultParagraphFont">
    <w:name w:val="Default Paragraph Font"/>
    <w:uiPriority w:val="1"/>
    <w:semiHidden/>
    <w:unhideWhenUsed/>
    <w:rPr>
      <w:rFonts w:ascii="Century Gothic" w:hAnsi="Century Gothic"/>
    </w:rPr>
  </w:style>
  <w:style w:type="table" w:default="1" w:styleId="TableNormal">
    <w:name w:val="Normal Table"/>
    <w:uiPriority w:val="99"/>
    <w:semiHidden/>
    <w:unhideWhenUsed/>
    <w:rPr>
      <w:rFonts w:ascii="Century Gothic" w:hAnsi="Century Gothic"/>
    </w:rPr>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rPr>
      <w:rFonts w:ascii="Century Gothic" w:hAnsi="Century Gothic"/>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ascii="Century Gothic" w:hAnsi="Century Gothic"/>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ascii="Century Gothic" w:hAnsi="Century Gothic"/>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ascii="Century Gothic" w:hAnsi="Century Gothic"/>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Century Gothic" w:hAnsi="Century Gothic"/>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ascii="Century Gothic" w:hAnsi="Century Gothic"/>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Century Gothic" w:hAnsi="Century Gothic"/>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ascii="Century Gothic" w:hAnsi="Century Gothic"/>
      <w:i/>
      <w:iCs/>
      <w:color w:val="4F81BD" w:themeColor="accent1"/>
      <w:spacing w:val="15"/>
      <w:sz w:val="24"/>
      <w:szCs w:val="24"/>
    </w:rPr>
  </w:style>
  <w:style w:type="paragraph" w:styleId="ListParagraph">
    <w:name w:val="List Paragraph"/>
    <w:basedOn w:val="Normal"/>
    <w:uiPriority w:val="34"/>
    <w:qFormat/>
    <w:rsid w:val="00FC693F"/>
    <w:pPr>
      <w:ind w:left="720"/>
      <w:contextualSpacing/>
    </w:pPr>
    <w:rPr>
      <w:rFonts w:ascii="Century Gothic" w:hAnsi="Century Gothic"/>
    </w:rPr>
  </w:style>
  <w:style w:type="paragraph" w:styleId="BodyText">
    <w:name w:val="Body Text"/>
    <w:basedOn w:val="Normal"/>
    <w:link w:val="BodyTextChar"/>
    <w:uiPriority w:val="99"/>
    <w:unhideWhenUsed/>
    <w:rsid w:val="00AA1D8D"/>
    <w:pPr>
      <w:spacing w:after="120"/>
    </w:pPr>
    <w:rPr>
      <w:rFonts w:ascii="Century Gothic" w:hAnsi="Century Gothic"/>
    </w:rPr>
  </w:style>
  <w:style w:type="character" w:customStyle="1" w:styleId="BodyTextChar">
    <w:name w:val="Body Text Char"/>
    <w:basedOn w:val="DefaultParagraphFont"/>
    <w:link w:val="BodyText"/>
    <w:uiPriority w:val="99"/>
    <w:rsid w:val="00AA1D8D"/>
    <w:rPr>
      <w:rFonts w:ascii="Century Gothic" w:hAnsi="Century Gothic"/>
    </w:rPr>
  </w:style>
  <w:style w:type="paragraph" w:styleId="BodyText2">
    <w:name w:val="Body Text 2"/>
    <w:basedOn w:val="Normal"/>
    <w:link w:val="BodyText2Char"/>
    <w:uiPriority w:val="99"/>
    <w:unhideWhenUsed/>
    <w:rsid w:val="00AA1D8D"/>
    <w:pPr>
      <w:spacing w:after="120" w:line="480" w:lineRule="auto"/>
    </w:pPr>
    <w:rPr>
      <w:rFonts w:ascii="Century Gothic" w:hAnsi="Century Gothic"/>
    </w:rPr>
  </w:style>
  <w:style w:type="character" w:customStyle="1" w:styleId="BodyText2Char">
    <w:name w:val="Body Text 2 Char"/>
    <w:basedOn w:val="DefaultParagraphFont"/>
    <w:link w:val="BodyText2"/>
    <w:uiPriority w:val="99"/>
    <w:rsid w:val="00AA1D8D"/>
    <w:rPr>
      <w:rFonts w:ascii="Century Gothic" w:hAnsi="Century Gothic"/>
    </w:rPr>
  </w:style>
  <w:style w:type="paragraph" w:styleId="BodyText3">
    <w:name w:val="Body Text 3"/>
    <w:basedOn w:val="Normal"/>
    <w:link w:val="BodyText3Char"/>
    <w:uiPriority w:val="99"/>
    <w:unhideWhenUsed/>
    <w:rsid w:val="00AA1D8D"/>
    <w:pPr>
      <w:spacing w:after="120"/>
    </w:pPr>
    <w:rPr>
      <w:rFonts w:ascii="Century Gothic" w:hAnsi="Century Gothic"/>
      <w:sz w:val="16"/>
      <w:szCs w:val="16"/>
    </w:rPr>
  </w:style>
  <w:style w:type="character" w:customStyle="1" w:styleId="BodyText3Char">
    <w:name w:val="Body Text 3 Char"/>
    <w:basedOn w:val="DefaultParagraphFont"/>
    <w:link w:val="BodyText3"/>
    <w:uiPriority w:val="99"/>
    <w:rsid w:val="00AA1D8D"/>
    <w:rPr>
      <w:rFonts w:ascii="Century Gothic" w:hAnsi="Century Gothic"/>
      <w:sz w:val="16"/>
      <w:szCs w:val="16"/>
    </w:rPr>
  </w:style>
  <w:style w:type="paragraph" w:styleId="List">
    <w:name w:val="List"/>
    <w:basedOn w:val="Normal"/>
    <w:uiPriority w:val="99"/>
    <w:unhideWhenUsed/>
    <w:rsid w:val="00AA1D8D"/>
    <w:pPr>
      <w:ind w:left="360" w:hanging="360"/>
      <w:contextualSpacing/>
    </w:pPr>
    <w:rPr>
      <w:rFonts w:ascii="Century Gothic" w:hAnsi="Century Gothic"/>
    </w:rPr>
  </w:style>
  <w:style w:type="paragraph" w:styleId="List2">
    <w:name w:val="List 2"/>
    <w:basedOn w:val="Normal"/>
    <w:uiPriority w:val="99"/>
    <w:unhideWhenUsed/>
    <w:rsid w:val="00326F90"/>
    <w:pPr>
      <w:ind w:left="720" w:hanging="360"/>
      <w:contextualSpacing/>
    </w:pPr>
    <w:rPr>
      <w:rFonts w:ascii="Century Gothic" w:hAnsi="Century Gothic"/>
    </w:rPr>
  </w:style>
  <w:style w:type="paragraph" w:styleId="List3">
    <w:name w:val="List 3"/>
    <w:basedOn w:val="Normal"/>
    <w:uiPriority w:val="99"/>
    <w:unhideWhenUsed/>
    <w:rsid w:val="00326F90"/>
    <w:pPr>
      <w:ind w:left="1080" w:hanging="360"/>
      <w:contextualSpacing/>
    </w:pPr>
    <w:rPr>
      <w:rFonts w:ascii="Century Gothic" w:hAnsi="Century Gothic"/>
    </w:rPr>
  </w:style>
  <w:style w:type="paragraph" w:styleId="ListBullet">
    <w:name w:val="List Bullet"/>
    <w:basedOn w:val="Normal"/>
    <w:uiPriority w:val="99"/>
    <w:unhideWhenUsed/>
    <w:rsid w:val="00326F90"/>
    <w:pPr>
      <w:numPr>
        <w:numId w:val="1"/>
      </w:numPr>
      <w:contextualSpacing/>
    </w:pPr>
    <w:rPr>
      <w:rFonts w:ascii="Arial" w:hAnsi="Arial"/>
    </w:rPr>
  </w:style>
  <w:style w:type="paragraph" w:styleId="ListBullet2">
    <w:name w:val="List Bullet 2"/>
    <w:basedOn w:val="Normal"/>
    <w:uiPriority w:val="99"/>
    <w:unhideWhenUsed/>
    <w:rsid w:val="00326F90"/>
    <w:pPr>
      <w:numPr>
        <w:numId w:val="2"/>
      </w:numPr>
      <w:contextualSpacing/>
    </w:pPr>
    <w:rPr>
      <w:rFonts w:ascii="Century Gothic" w:hAnsi="Century Gothic"/>
    </w:rPr>
  </w:style>
  <w:style w:type="paragraph" w:styleId="ListBullet3">
    <w:name w:val="List Bullet 3"/>
    <w:basedOn w:val="Normal"/>
    <w:uiPriority w:val="99"/>
    <w:unhideWhenUsed/>
    <w:rsid w:val="00326F90"/>
    <w:pPr>
      <w:numPr>
        <w:numId w:val="3"/>
      </w:numPr>
      <w:contextualSpacing/>
    </w:pPr>
    <w:rPr>
      <w:rFonts w:ascii="Century Gothic" w:hAnsi="Century Gothic"/>
    </w:rPr>
  </w:style>
  <w:style w:type="paragraph" w:styleId="ListNumber">
    <w:name w:val="List Number"/>
    <w:basedOn w:val="Normal"/>
    <w:uiPriority w:val="99"/>
    <w:unhideWhenUsed/>
    <w:rsid w:val="00326F90"/>
    <w:pPr>
      <w:numPr>
        <w:numId w:val="5"/>
      </w:numPr>
      <w:contextualSpacing/>
    </w:pPr>
    <w:rPr>
      <w:rFonts w:ascii="Century Gothic" w:hAnsi="Century Gothic"/>
    </w:rPr>
  </w:style>
  <w:style w:type="paragraph" w:styleId="ListNumber2">
    <w:name w:val="List Number 2"/>
    <w:basedOn w:val="Normal"/>
    <w:uiPriority w:val="99"/>
    <w:unhideWhenUsed/>
    <w:rsid w:val="0029639D"/>
    <w:pPr>
      <w:numPr>
        <w:numId w:val="6"/>
      </w:numPr>
      <w:contextualSpacing/>
    </w:pPr>
    <w:rPr>
      <w:rFonts w:ascii="Century Gothic" w:hAnsi="Century Gothic"/>
    </w:rPr>
  </w:style>
  <w:style w:type="paragraph" w:styleId="ListNumber3">
    <w:name w:val="List Number 3"/>
    <w:basedOn w:val="Normal"/>
    <w:uiPriority w:val="99"/>
    <w:unhideWhenUsed/>
    <w:rsid w:val="0029639D"/>
    <w:pPr>
      <w:numPr>
        <w:numId w:val="7"/>
      </w:numPr>
      <w:contextualSpacing/>
    </w:pPr>
    <w:rPr>
      <w:rFonts w:ascii="Century Gothic" w:hAnsi="Century Gothic"/>
    </w:rPr>
  </w:style>
  <w:style w:type="paragraph" w:styleId="ListContinue">
    <w:name w:val="List Continue"/>
    <w:basedOn w:val="Normal"/>
    <w:uiPriority w:val="99"/>
    <w:unhideWhenUsed/>
    <w:rsid w:val="0029639D"/>
    <w:pPr>
      <w:spacing w:after="120"/>
      <w:ind w:left="360"/>
      <w:contextualSpacing/>
    </w:pPr>
    <w:rPr>
      <w:rFonts w:ascii="Century Gothic" w:hAnsi="Century Gothic"/>
    </w:rPr>
  </w:style>
  <w:style w:type="paragraph" w:styleId="ListContinue2">
    <w:name w:val="List Continue 2"/>
    <w:basedOn w:val="Normal"/>
    <w:uiPriority w:val="99"/>
    <w:unhideWhenUsed/>
    <w:rsid w:val="0029639D"/>
    <w:pPr>
      <w:spacing w:after="120"/>
      <w:ind w:left="720"/>
      <w:contextualSpacing/>
    </w:pPr>
    <w:rPr>
      <w:rFonts w:ascii="Century Gothic" w:hAnsi="Century Gothic"/>
    </w:rPr>
  </w:style>
  <w:style w:type="paragraph" w:styleId="ListContinue3">
    <w:name w:val="List Continue 3"/>
    <w:basedOn w:val="Normal"/>
    <w:uiPriority w:val="99"/>
    <w:unhideWhenUsed/>
    <w:rsid w:val="0029639D"/>
    <w:pPr>
      <w:spacing w:after="120"/>
      <w:ind w:left="1080"/>
      <w:contextualSpacing/>
    </w:pPr>
    <w:rPr>
      <w:rFonts w:ascii="Century Gothic" w:hAnsi="Century Gothic"/>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entury Gothic" w:hAnsi="Century Gothic"/>
      <w:sz w:val="20"/>
      <w:szCs w:val="20"/>
    </w:rPr>
  </w:style>
  <w:style w:type="character" w:customStyle="1" w:styleId="MacroTextChar">
    <w:name w:val="Macro Text Char"/>
    <w:basedOn w:val="DefaultParagraphFont"/>
    <w:link w:val="MacroText"/>
    <w:uiPriority w:val="99"/>
    <w:rsid w:val="0029639D"/>
    <w:rPr>
      <w:rFonts w:ascii="Century Gothic" w:hAnsi="Century Gothic"/>
      <w:sz w:val="20"/>
      <w:szCs w:val="20"/>
    </w:rPr>
  </w:style>
  <w:style w:type="paragraph" w:styleId="Quote">
    <w:name w:val="Quote"/>
    <w:basedOn w:val="Normal"/>
    <w:next w:val="Normal"/>
    <w:link w:val="QuoteChar"/>
    <w:uiPriority w:val="29"/>
    <w:qFormat/>
    <w:rsid w:val="00FC693F"/>
    <w:rPr>
      <w:rFonts w:ascii="Century Gothic" w:hAnsi="Century Gothic"/>
      <w:i/>
      <w:iCs/>
      <w:color w:val="000000" w:themeColor="text1"/>
    </w:rPr>
  </w:style>
  <w:style w:type="character" w:customStyle="1" w:styleId="QuoteChar">
    <w:name w:val="Quote Char"/>
    <w:basedOn w:val="DefaultParagraphFont"/>
    <w:link w:val="Quote"/>
    <w:uiPriority w:val="29"/>
    <w:rsid w:val="00FC693F"/>
    <w:rPr>
      <w:rFonts w:ascii="Century Gothic" w:hAnsi="Century Gothic"/>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ascii="Century Gothic" w:hAnsi="Century Gothic"/>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ascii="Century Gothic" w:hAnsi="Century Gothic"/>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ascii="Century Gothic" w:hAnsi="Century Gothic"/>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ascii="Century Gothic" w:hAnsi="Century Gothic"/>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ascii="Century Gothic" w:hAnsi="Century Gothic"/>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ascii="Century Gothic" w:hAnsi="Century Gothic"/>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rFonts w:ascii="Century Gothic" w:hAnsi="Century Gothic"/>
      <w:b/>
      <w:bCs/>
      <w:color w:val="4F81BD" w:themeColor="accent1"/>
      <w:sz w:val="18"/>
      <w:szCs w:val="18"/>
    </w:rPr>
  </w:style>
  <w:style w:type="character" w:styleId="Strong">
    <w:name w:val="Strong"/>
    <w:basedOn w:val="DefaultParagraphFont"/>
    <w:uiPriority w:val="22"/>
    <w:qFormat/>
    <w:rsid w:val="00FC693F"/>
    <w:rPr>
      <w:rFonts w:ascii="Century Gothic" w:hAnsi="Century Gothic"/>
      <w:b/>
      <w:bCs/>
    </w:rPr>
  </w:style>
  <w:style w:type="character" w:styleId="Emphasis">
    <w:name w:val="Emphasis"/>
    <w:basedOn w:val="DefaultParagraphFont"/>
    <w:uiPriority w:val="20"/>
    <w:qFormat/>
    <w:rsid w:val="00FC693F"/>
    <w:rPr>
      <w:rFonts w:ascii="Century Gothic" w:hAnsi="Century Gothic"/>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rFonts w:ascii="Century Gothic" w:hAnsi="Century Gothic"/>
      <w:b/>
      <w:bCs/>
      <w:i/>
      <w:iCs/>
      <w:color w:val="4F81BD" w:themeColor="accent1"/>
    </w:rPr>
  </w:style>
  <w:style w:type="character" w:customStyle="1" w:styleId="IntenseQuoteChar">
    <w:name w:val="Intense Quote Char"/>
    <w:basedOn w:val="DefaultParagraphFont"/>
    <w:link w:val="IntenseQuote"/>
    <w:uiPriority w:val="30"/>
    <w:rsid w:val="00FC693F"/>
    <w:rPr>
      <w:rFonts w:ascii="Century Gothic" w:hAnsi="Century Gothic"/>
      <w:b/>
      <w:bCs/>
      <w:i/>
      <w:iCs/>
      <w:color w:val="4F81BD" w:themeColor="accent1"/>
    </w:rPr>
  </w:style>
  <w:style w:type="character" w:styleId="SubtleEmphasis">
    <w:name w:val="Subtle Emphasis"/>
    <w:basedOn w:val="DefaultParagraphFont"/>
    <w:uiPriority w:val="19"/>
    <w:qFormat/>
    <w:rsid w:val="00FC693F"/>
    <w:rPr>
      <w:rFonts w:ascii="Century Gothic" w:hAnsi="Century Gothic"/>
      <w:i/>
      <w:iCs/>
      <w:color w:val="808080" w:themeColor="text1" w:themeTint="7F"/>
    </w:rPr>
  </w:style>
  <w:style w:type="character" w:styleId="IntenseEmphasis">
    <w:name w:val="Intense Emphasis"/>
    <w:basedOn w:val="DefaultParagraphFont"/>
    <w:uiPriority w:val="21"/>
    <w:qFormat/>
    <w:rsid w:val="00FC693F"/>
    <w:rPr>
      <w:rFonts w:ascii="Century Gothic" w:hAnsi="Century Gothic"/>
      <w:b/>
      <w:bCs/>
      <w:i/>
      <w:iCs/>
      <w:color w:val="4F81BD" w:themeColor="accent1"/>
    </w:rPr>
  </w:style>
  <w:style w:type="character" w:styleId="SubtleReference">
    <w:name w:val="Subtle Reference"/>
    <w:basedOn w:val="DefaultParagraphFont"/>
    <w:uiPriority w:val="31"/>
    <w:qFormat/>
    <w:rsid w:val="00FC693F"/>
    <w:rPr>
      <w:rFonts w:ascii="Century Gothic" w:hAnsi="Century Gothic"/>
      <w:smallCaps/>
      <w:color w:val="C0504D" w:themeColor="accent2"/>
      <w:u w:val="single"/>
    </w:rPr>
  </w:style>
  <w:style w:type="character" w:styleId="IntenseReference">
    <w:name w:val="Intense Reference"/>
    <w:basedOn w:val="DefaultParagraphFont"/>
    <w:uiPriority w:val="32"/>
    <w:qFormat/>
    <w:rsid w:val="00FC693F"/>
    <w:rPr>
      <w:rFonts w:ascii="Century Gothic" w:hAnsi="Century Gothic"/>
      <w:b/>
      <w:bCs/>
      <w:smallCaps/>
      <w:color w:val="C0504D" w:themeColor="accent2"/>
      <w:spacing w:val="5"/>
      <w:u w:val="single"/>
    </w:rPr>
  </w:style>
  <w:style w:type="character" w:styleId="BookTitle">
    <w:name w:val="Book Title"/>
    <w:basedOn w:val="DefaultParagraphFont"/>
    <w:uiPriority w:val="33"/>
    <w:qFormat/>
    <w:rsid w:val="00FC693F"/>
    <w:rPr>
      <w:rFonts w:ascii="Century Gothic" w:hAnsi="Century Gothic"/>
      <w:b/>
      <w:bCs/>
      <w:smallCaps/>
      <w:spacing w:val="5"/>
    </w:rPr>
  </w:style>
  <w:style w:type="paragraph" w:styleId="TOCHeading">
    <w:name w:val="TOC Heading"/>
    <w:basedOn w:val="Heading1"/>
    <w:next w:val="Normal"/>
    <w:uiPriority w:val="39"/>
    <w:semiHidden/>
    <w:unhideWhenUsed/>
    <w:qFormat/>
    <w:rsid w:val="00FC693F"/>
    <w:pPr>
      <w:outlineLvl w:val="9"/>
    </w:pPr>
    <w:rPr>
      <w:rFonts w:ascii="Century Gothic" w:hAnsi="Century Gothic"/>
    </w:rPr>
  </w:style>
  <w:style w:type="table" w:styleId="TableGrid">
    <w:name w:val="Table Grid"/>
    <w:basedOn w:val="TableNormal"/>
    <w:uiPriority w:val="59"/>
    <w:rsid w:val="00FC693F"/>
    <w:pPr>
      <w:spacing w:after="0" w:line="240" w:lineRule="auto"/>
    </w:pPr>
    <w:rPr>
      <w:rFonts w:ascii="Century Gothic" w:hAnsi="Century Gothic"/>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rFonts w:ascii="Century Gothic" w:hAnsi="Century Gothic"/>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rFonts w:ascii="Century Gothic" w:hAnsi="Century Gothic"/>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rFonts w:ascii="Century Gothic" w:hAnsi="Century Gothic"/>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rFonts w:ascii="Century Gothic" w:hAnsi="Century Gothic"/>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rFonts w:ascii="Century Gothic" w:hAnsi="Century Gothic"/>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rFonts w:ascii="Century Gothic" w:hAnsi="Century Gothic"/>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rFonts w:ascii="Century Gothic" w:hAnsi="Century Gothic"/>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rPr>
      <w:rFonts w:ascii="Century Gothic" w:hAnsi="Century Gothic"/>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rPr>
      <w:rFonts w:ascii="Century Gothic" w:hAnsi="Century Gothic"/>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rPr>
      <w:rFonts w:ascii="Century Gothic" w:hAnsi="Century Gothic"/>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rPr>
      <w:rFonts w:ascii="Century Gothic" w:hAnsi="Century Gothic"/>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rPr>
      <w:rFonts w:ascii="Century Gothic" w:hAnsi="Century Gothic"/>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rPr>
      <w:rFonts w:ascii="Century Gothic" w:hAnsi="Century Gothic"/>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rPr>
      <w:rFonts w:ascii="Century Gothic" w:hAnsi="Century Gothic"/>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rPr>
      <w:rFonts w:ascii="Century Gothic" w:hAnsi="Century Gothic"/>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rPr>
      <w:rFonts w:ascii="Century Gothic" w:hAnsi="Century Gothic"/>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rPr>
      <w:rFonts w:ascii="Century Gothic" w:hAnsi="Century Gothic"/>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rPr>
      <w:rFonts w:ascii="Century Gothic" w:hAnsi="Century Gothic"/>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rPr>
      <w:rFonts w:ascii="Century Gothic" w:hAnsi="Century Gothic"/>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rPr>
      <w:rFonts w:ascii="Century Gothic" w:hAnsi="Century Gothic"/>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rPr>
      <w:rFonts w:ascii="Century Gothic" w:hAnsi="Century Gothic"/>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rPr>
      <w:rFonts w:ascii="Century Gothic" w:hAnsi="Century Gothic"/>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rPr>
      <w:rFonts w:ascii="Century Gothic" w:hAnsi="Century Gothic"/>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rPr>
      <w:rFonts w:ascii="Century Gothic" w:hAnsi="Century Gothic"/>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rPr>
      <w:rFonts w:ascii="Century Gothic" w:hAnsi="Century Gothic"/>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rPr>
      <w:rFonts w:ascii="Century Gothic" w:hAnsi="Century Gothic"/>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rPr>
      <w:rFonts w:ascii="Century Gothic" w:hAnsi="Century Gothic"/>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rPr>
      <w:rFonts w:ascii="Century Gothic" w:hAnsi="Century Gothic"/>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rPr>
      <w:rFonts w:ascii="Century Gothic" w:hAnsi="Century Gothic"/>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rPr>
      <w:rFonts w:ascii="Century Gothic" w:hAnsi="Century Gothic"/>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rPr>
      <w:rFonts w:ascii="Century Gothic" w:hAnsi="Century Gothic"/>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rPr>
      <w:rFonts w:ascii="Century Gothic" w:hAnsi="Century Gothic"/>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rPr>
      <w:rFonts w:ascii="Century Gothic" w:hAnsi="Century Gothic"/>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rPr>
      <w:rFonts w:ascii="Century Gothic" w:hAnsi="Century Gothic"/>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rPr>
      <w:rFonts w:ascii="Century Gothic" w:hAnsi="Century Gothic"/>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rFonts w:ascii="Century Gothic" w:hAnsi="Century Gothic"/>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rFonts w:ascii="Century Gothic" w:hAnsi="Century Gothic"/>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rFonts w:ascii="Century Gothic" w:hAnsi="Century Gothic"/>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rFonts w:ascii="Century Gothic" w:hAnsi="Century Gothic"/>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rFonts w:ascii="Century Gothic" w:hAnsi="Century Gothic"/>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rFonts w:ascii="Century Gothic" w:hAnsi="Century Gothic"/>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rFonts w:ascii="Century Gothic" w:hAnsi="Century Gothic"/>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rPr>
      <w:rFonts w:ascii="Century Gothic" w:hAnsi="Century Gothic"/>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rPr>
      <w:rFonts w:ascii="Century Gothic" w:hAnsi="Century Gothic"/>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rPr>
      <w:rFonts w:ascii="Century Gothic" w:hAnsi="Century Gothic"/>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rPr>
      <w:rFonts w:ascii="Century Gothic" w:hAnsi="Century Gothic"/>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rPr>
      <w:rFonts w:ascii="Century Gothic" w:hAnsi="Century Gothic"/>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rPr>
      <w:rFonts w:ascii="Century Gothic" w:hAnsi="Century Gothic"/>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rPr>
      <w:rFonts w:ascii="Century Gothic" w:hAnsi="Century Gothic"/>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rPr>
      <w:rFonts w:ascii="Century Gothic" w:hAnsi="Century Gothic"/>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rPr>
      <w:rFonts w:ascii="Century Gothic" w:hAnsi="Century Gothic"/>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rPr>
      <w:rFonts w:ascii="Century Gothic" w:hAnsi="Century Gothic"/>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rPr>
      <w:rFonts w:ascii="Century Gothic" w:hAnsi="Century Gothic"/>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rPr>
      <w:rFonts w:ascii="Century Gothic" w:hAnsi="Century Gothic"/>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rPr>
      <w:rFonts w:ascii="Century Gothic" w:hAnsi="Century Gothic"/>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rPr>
      <w:rFonts w:ascii="Century Gothic" w:hAnsi="Century Gothic"/>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rFonts w:ascii="Century Gothic" w:hAnsi="Century Gothic"/>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rFonts w:ascii="Century Gothic" w:hAnsi="Century Gothic"/>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rFonts w:ascii="Century Gothic" w:hAnsi="Century Gothic"/>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rFonts w:ascii="Century Gothic" w:hAnsi="Century Gothic"/>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rFonts w:ascii="Century Gothic" w:hAnsi="Century Gothic"/>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rFonts w:ascii="Century Gothic" w:hAnsi="Century Gothic"/>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rFonts w:ascii="Century Gothic" w:hAnsi="Century Gothic"/>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rFonts w:ascii="Century Gothic" w:hAnsi="Century Gothic"/>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rFonts w:ascii="Century Gothic" w:hAnsi="Century Gothic"/>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rFonts w:ascii="Century Gothic" w:hAnsi="Century Gothic"/>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rFonts w:ascii="Century Gothic" w:hAnsi="Century Gothic"/>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rFonts w:ascii="Century Gothic" w:hAnsi="Century Gothic"/>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rFonts w:ascii="Century Gothic" w:hAnsi="Century Gothic"/>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rFonts w:ascii="Century Gothic" w:hAnsi="Century Gothic"/>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rFonts w:ascii="Century Gothic" w:hAnsi="Century Gothic"/>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rFonts w:ascii="Century Gothic" w:hAnsi="Century Gothic"/>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rFonts w:ascii="Century Gothic" w:hAnsi="Century Gothic"/>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rFonts w:ascii="Century Gothic" w:hAnsi="Century Gothic"/>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rFonts w:ascii="Century Gothic" w:hAnsi="Century Gothic"/>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rFonts w:ascii="Century Gothic" w:hAnsi="Century Gothic"/>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rFonts w:ascii="Century Gothic" w:hAnsi="Century Gothic"/>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footer" Target="footer1.xml"/><Relationship Id="rId1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Northway School Website Privacy Notice 2026</dc:title>
  <dc:subject>Website Privacy Notice</dc:subject>
  <dc:creator>Northway School</dc:creator>
  <cp:keywords/>
  <dc:description>generated by python-docx</dc:description>
  <cp:lastModifiedBy/>
  <cp:revision>1</cp:revision>
  <dcterms:created xsi:type="dcterms:W3CDTF">2013-12-23T23:15:00Z</dcterms:created>
  <dcterms:modified xsi:type="dcterms:W3CDTF">2013-12-23T23:15:00Z</dcterms:modified>
  <cp:category/>
</cp:coreProperties>
</file>